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80"/>
        <w:jc w:val="left"/>
      </w:pPr>
      <w:r>
        <w:rPr>
          <w:rFonts w:ascii="Arial Unicode MS" w:hAnsi="Arial Unicode MS" w:eastAsia="Arial Unicode MS"/>
          <w:b/>
          <w:i w:val="0"/>
          <w:color w:val="0B2545"/>
          <w:sz w:val="48"/>
        </w:rPr>
        <w:t>AI 产品团队配置建议</w:t>
      </w:r>
    </w:p>
    <w:p>
      <w:pPr>
        <w:spacing w:after="280"/>
      </w:pPr>
      <w:r>
        <w:rPr>
          <w:rFonts w:ascii="Arial Unicode MS" w:hAnsi="Arial Unicode MS" w:eastAsia="Arial Unicode MS"/>
          <w:b w:val="0"/>
          <w:i w:val="0"/>
          <w:color w:val="555555"/>
          <w:sz w:val="26"/>
        </w:rPr>
        <w:t>运动健康方向｜小程序 + App + 大模型应用 + AI Native 研发</w:t>
      </w:r>
    </w:p>
    <w:p>
      <w:pPr>
        <w:spacing w:after="40"/>
      </w:pPr>
      <w:r>
        <w:rPr>
          <w:rFonts w:ascii="Arial Unicode MS" w:hAnsi="Arial Unicode MS" w:eastAsia="Arial Unicode MS"/>
          <w:b/>
          <w:i w:val="0"/>
          <w:color w:val="555555"/>
          <w:sz w:val="21"/>
        </w:rPr>
        <w:t>适用方向：</w:t>
      </w:r>
      <w:r>
        <w:rPr>
          <w:rFonts w:ascii="Arial Unicode MS" w:hAnsi="Arial Unicode MS" w:eastAsia="Arial Unicode MS"/>
          <w:b w:val="0"/>
          <w:i w:val="0"/>
          <w:color w:val="555555"/>
          <w:sz w:val="21"/>
        </w:rPr>
        <w:t>小程序、运动 App、Harness / Agent Loop、RAG / 切片、国内外大模型、AI Native 研发</w:t>
      </w:r>
    </w:p>
    <w:p>
      <w:pPr>
        <w:spacing w:after="40"/>
      </w:pPr>
      <w:r>
        <w:rPr>
          <w:rFonts w:ascii="Arial Unicode MS" w:hAnsi="Arial Unicode MS" w:eastAsia="Arial Unicode MS"/>
          <w:b/>
          <w:i w:val="0"/>
          <w:color w:val="555555"/>
          <w:sz w:val="21"/>
        </w:rPr>
        <w:t>文件定位：</w:t>
      </w:r>
      <w:r>
        <w:rPr>
          <w:rFonts w:ascii="Arial Unicode MS" w:hAnsi="Arial Unicode MS" w:eastAsia="Arial Unicode MS"/>
          <w:b w:val="0"/>
          <w:i w:val="0"/>
          <w:color w:val="555555"/>
          <w:sz w:val="21"/>
        </w:rPr>
        <w:t>团队配置与招聘画像建议（讨论稿）</w:t>
      </w:r>
    </w:p>
    <w:p>
      <w:pPr>
        <w:spacing w:after="40"/>
      </w:pPr>
      <w:r>
        <w:rPr>
          <w:rFonts w:ascii="Arial Unicode MS" w:hAnsi="Arial Unicode MS" w:eastAsia="Arial Unicode MS"/>
          <w:b/>
          <w:i w:val="0"/>
          <w:color w:val="555555"/>
          <w:sz w:val="21"/>
        </w:rPr>
        <w:t>编制日期：</w:t>
      </w:r>
      <w:r>
        <w:rPr>
          <w:rFonts w:ascii="Arial Unicode MS" w:hAnsi="Arial Unicode MS" w:eastAsia="Arial Unicode MS"/>
          <w:b w:val="0"/>
          <w:i w:val="0"/>
          <w:color w:val="555555"/>
          <w:sz w:val="21"/>
        </w:rPr>
        <w:t>2026 年 7 月 15 日</w:t>
      </w:r>
    </w:p>
    <w:p>
      <w:pPr>
        <w:spacing w:after="40"/>
      </w:pPr>
      <w:r>
        <w:rPr>
          <w:rFonts w:ascii="Arial Unicode MS" w:hAnsi="Arial Unicode MS" w:eastAsia="Arial Unicode MS"/>
          <w:b/>
          <w:i w:val="0"/>
          <w:color w:val="555555"/>
          <w:sz w:val="21"/>
        </w:rPr>
        <w:t>编制依据：</w:t>
      </w:r>
      <w:r>
        <w:rPr>
          <w:rFonts w:ascii="Arial Unicode MS" w:hAnsi="Arial Unicode MS" w:eastAsia="Arial Unicode MS"/>
          <w:b w:val="0"/>
          <w:i w:val="0"/>
          <w:color w:val="555555"/>
          <w:sz w:val="21"/>
        </w:rPr>
        <w:t>本次面试纪要摘要及业务方向；原始面试附件未随本次对话提供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4F6F9"/>
          </w:tcPr>
          <w:p>
            <w:pPr>
              <w:spacing w:after="0" w:line="269" w:lineRule="auto"/>
            </w:pPr>
            <w:r>
              <w:rPr>
                <w:rFonts w:ascii="Arial Unicode MS" w:hAnsi="Arial Unicode MS" w:eastAsia="Arial Unicode MS"/>
                <w:b/>
                <w:i w:val="0"/>
                <w:color w:val="1F4D78"/>
                <w:sz w:val="22"/>
              </w:rPr>
              <w:t xml:space="preserve">核心判断  </w:t>
            </w: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22"/>
              </w:rPr>
              <w:t>不建议以“全能 AI 产品经理”作为唯一解法。应以 1 名 AI Native 产品技术负责人为核心，配合 AI 应用工程、小程序 / App 工程与运动健康专业能力，形成可验证、可交付、可扩展的垂类 AI 产品闭环。</w:t>
            </w:r>
          </w:p>
        </w:tc>
      </w:tr>
    </w:tbl>
    <w:p>
      <w:pPr>
        <w:spacing w:after="20"/>
      </w:pPr>
    </w:p>
    <w:p>
      <w:pPr>
        <w:pStyle w:val="Heading1"/>
      </w:pPr>
      <w:r>
        <w:t>一、业务目标与团队能力边界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目标产品可定义为“AI 运动健康助手”：以小程序和运动 App 为用户入口，接入用户运动与健康数据，以运动健康知识库、规则模型、Agent 和大模型能力提供训练、恢复、营养与健康咨询服务。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用户价值：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把分散的运动数据、专业知识与个体目标转化为可执行的训练、恢复和营养建议。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产品边界：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AI 负责信息整合、计划生成和解释；涉及疾病诊断、处方或高风险健康结论时，必须由合规规则和专业人员边界约束。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竞争壁垒：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不在于单次调用模型，而在于运动健康知识体系、数据接入质量、效果评测与持续反馈闭环。</w:t>
      </w:r>
    </w:p>
    <w:p>
      <w:pPr>
        <w:pStyle w:val="Heading1"/>
      </w:pPr>
      <w:r>
        <w:t>二、组织配置总览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团队配置应围绕“定义场景—构建能力—接入数据—验证效果”四条主线。岗位可随着阶段合并，但核心能力不能缺位。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900"/>
        <w:gridCol w:w="4560"/>
        <w:gridCol w:w="1700"/>
      </w:tblGrid>
      <w:tr>
        <w:trPr>
          <w:tblHeader w:val="true"/>
          <w:cantSplit/>
        </w:trPr>
        <w:tc>
          <w:tcPr>
            <w:tcW w:type="dxa" w:w="22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角色</w:t>
            </w:r>
          </w:p>
        </w:tc>
        <w:tc>
          <w:tcPr>
            <w:tcW w:type="dxa" w:w="9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建议人数</w:t>
            </w:r>
          </w:p>
        </w:tc>
        <w:tc>
          <w:tcPr>
            <w:tcW w:type="dxa" w:w="45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主要职责</w:t>
            </w:r>
          </w:p>
        </w:tc>
        <w:tc>
          <w:tcPr>
            <w:tcW w:type="dxa" w:w="17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启动阶段优先级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AI Native 产品技术负责人</w:t>
            </w:r>
          </w:p>
        </w:tc>
        <w:tc>
          <w:tcPr>
            <w:tcW w:type="dxa" w:w="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1</w:t>
            </w:r>
          </w:p>
        </w:tc>
        <w:tc>
          <w:tcPr>
            <w:tcW w:type="dxa" w:w="45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定义业务场景与产品路径；能快速做 Demo；协同产品、工程、模型和运营。</w:t>
            </w:r>
          </w:p>
        </w:tc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P0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AI 应用工程师</w:t>
            </w:r>
          </w:p>
        </w:tc>
        <w:tc>
          <w:tcPr>
            <w:tcW w:type="dxa" w:w="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1–2</w:t>
            </w:r>
          </w:p>
        </w:tc>
        <w:tc>
          <w:tcPr>
            <w:tcW w:type="dxa" w:w="45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负责 Agent / Harness / RAG、模型接入、工具调用、评测和生产化。</w:t>
            </w:r>
          </w:p>
        </w:tc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P0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小程序 / App 工程师</w:t>
            </w:r>
          </w:p>
        </w:tc>
        <w:tc>
          <w:tcPr>
            <w:tcW w:type="dxa" w:w="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1–2</w:t>
            </w:r>
          </w:p>
        </w:tc>
        <w:tc>
          <w:tcPr>
            <w:tcW w:type="dxa" w:w="45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负责微信小程序、App、登录与通知、运动数据接口和用户体验。</w:t>
            </w:r>
          </w:p>
        </w:tc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P0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运动健康专家 / 数据专家</w:t>
            </w:r>
          </w:p>
        </w:tc>
        <w:tc>
          <w:tcPr>
            <w:tcW w:type="dxa" w:w="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1</w:t>
            </w:r>
          </w:p>
        </w:tc>
        <w:tc>
          <w:tcPr>
            <w:tcW w:type="dxa" w:w="45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沉淀训练规则、指标体系、内容与风险边界，参与效果验收。</w:t>
            </w:r>
          </w:p>
        </w:tc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P1</w:t>
            </w:r>
          </w:p>
        </w:tc>
      </w:tr>
      <w:tr>
        <w:trPr>
          <w:cantSplit/>
        </w:trPr>
        <w:tc>
          <w:tcPr>
            <w:tcW w:type="dxa" w:w="22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AI Native 产品工程师</w:t>
            </w:r>
          </w:p>
        </w:tc>
        <w:tc>
          <w:tcPr>
            <w:tcW w:type="dxa" w:w="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0–1</w:t>
            </w:r>
          </w:p>
        </w:tc>
        <w:tc>
          <w:tcPr>
            <w:tcW w:type="dxa" w:w="45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建设 AI 辅助研发、测试、文档和交付自动化；早期可由负责人兼任。</w:t>
            </w:r>
          </w:p>
        </w:tc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P1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4F6F9"/>
          </w:tcPr>
          <w:p>
            <w:pPr>
              <w:spacing w:after="0" w:line="269" w:lineRule="auto"/>
            </w:pPr>
            <w:r>
              <w:rPr>
                <w:rFonts w:ascii="Arial Unicode MS" w:hAnsi="Arial Unicode MS" w:eastAsia="Arial Unicode MS"/>
                <w:b/>
                <w:i w:val="0"/>
                <w:color w:val="1F4D78"/>
                <w:sz w:val="22"/>
              </w:rPr>
              <w:t xml:space="preserve">最小可启动团队  </w:t>
            </w: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22"/>
              </w:rPr>
              <w:t>4–5 人：1 名 AI Native 产品技术负责人 + 1–2 名 AI 应用工程师 + 1 名小程序 / App 工程师 + 1 名运动健康专家（可先以顾问或合作方式进入）。</w:t>
            </w:r>
          </w:p>
        </w:tc>
      </w:tr>
    </w:tbl>
    <w:p>
      <w:pPr>
        <w:spacing w:after="20"/>
      </w:pPr>
    </w:p>
    <w:p>
      <w:pPr>
        <w:pStyle w:val="Heading1"/>
      </w:pPr>
      <w:r>
        <w:t>三、岗位一：AI Native 产品技术负责人（第一优先级）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这是团队的核心岗位。该角色不必亲自覆盖所有技术细节，但必须能够把用户问题、运动数据、知识库、模型和工程交付连接成闭环，并以 AI Native 的方式快速验证假设。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关键职责：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定义高价值场景，例如 AI 跑步教练、训练报告、恢复建议、营养建议和运动计划生成；制定 MVP 范围、风险边界与验收标准。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必须理解：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Agent、多轮对话、系统提示词、Function Calling / Tool Calling、RAG、文档切片、召回、重排、模型评测与成本控制。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必须能做：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将一句业务需求拆解为 PRD、流程、数据字段、接口约束、评测样本和 Demo；能够与工程师共同定位效果问题。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面试观察点：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是否亲自做过可运行 Demo；能否说明一次模型效果下降如何定位；是否把安全、成本、延迟和可解释性视为产品约束。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3600"/>
        <w:gridCol w:w="3360"/>
      </w:tblGrid>
      <w:tr>
        <w:trPr>
          <w:tblHeader w:val="true"/>
          <w:cantSplit/>
        </w:trPr>
        <w:tc>
          <w:tcPr>
            <w:tcW w:type="dxa" w:w="24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能力维度</w:t>
            </w:r>
          </w:p>
        </w:tc>
        <w:tc>
          <w:tcPr>
            <w:tcW w:type="dxa" w:w="36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合格标准</w:t>
            </w:r>
          </w:p>
        </w:tc>
        <w:tc>
          <w:tcPr>
            <w:tcW w:type="dxa" w:w="33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加分项</w:t>
            </w:r>
          </w:p>
        </w:tc>
      </w:tr>
      <w:tr>
        <w:trPr>
          <w:cantSplit/>
        </w:trPr>
        <w:tc>
          <w:tcPr>
            <w:tcW w:type="dxa" w:w="24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AI 产品设计</w:t>
            </w:r>
          </w:p>
        </w:tc>
        <w:tc>
          <w:tcPr>
            <w:tcW w:type="dxa" w:w="36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能设计目标、上下文、工具调用、失败兜底和人工升级路径。</w:t>
            </w:r>
          </w:p>
        </w:tc>
        <w:tc>
          <w:tcPr>
            <w:tcW w:type="dxa" w:w="33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有健康、运动或高风险建议类产品经验。</w:t>
            </w:r>
          </w:p>
        </w:tc>
      </w:tr>
      <w:tr>
        <w:trPr>
          <w:cantSplit/>
        </w:trPr>
        <w:tc>
          <w:tcPr>
            <w:tcW w:type="dxa" w:w="24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RAG 产品理解</w:t>
            </w:r>
          </w:p>
        </w:tc>
        <w:tc>
          <w:tcPr>
            <w:tcW w:type="dxa" w:w="36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理解切片、元数据、召回、重排与引用证据对回答质量的影响。</w:t>
            </w:r>
          </w:p>
        </w:tc>
        <w:tc>
          <w:tcPr>
            <w:tcW w:type="dxa" w:w="33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做过可量化评测集与持续优化机制。</w:t>
            </w:r>
          </w:p>
        </w:tc>
      </w:tr>
      <w:tr>
        <w:trPr>
          <w:cantSplit/>
        </w:trPr>
        <w:tc>
          <w:tcPr>
            <w:tcW w:type="dxa" w:w="24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AI Native 交付</w:t>
            </w:r>
          </w:p>
        </w:tc>
        <w:tc>
          <w:tcPr>
            <w:tcW w:type="dxa" w:w="36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用 AI 辅助形成需求—文档—代码—测试—部署闭环。</w:t>
            </w:r>
          </w:p>
        </w:tc>
        <w:tc>
          <w:tcPr>
            <w:tcW w:type="dxa" w:w="33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建设过团队级研发自动化或评测平台。</w:t>
            </w:r>
          </w:p>
        </w:tc>
      </w:tr>
    </w:tbl>
    <w:p>
      <w:pPr>
        <w:spacing w:after="20"/>
      </w:pPr>
    </w:p>
    <w:p>
      <w:pPr>
        <w:pStyle w:val="Heading1"/>
      </w:pPr>
      <w:r>
        <w:t>四、岗位二：AI 应用工程师（最关键工程岗位）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该岗位的价值不止是“会调用 API”，而是将多模型、数据、工具与评测体系封装成稳定、可观察、可优化的应用运行框架。</w:t>
      </w:r>
    </w:p>
    <w:p>
      <w:pPr>
        <w:pStyle w:val="Heading2"/>
      </w:pPr>
      <w:r>
        <w:t>1. 大模型与多模型路由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模型范围：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理解并接入国内外模型服务，例如 OpenAI、Claude、Gemini、通义千问、DeepSeek、豆包、智谱等；实际选择应以合规、可用区域、成本和性能为准。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工程要求：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具备模型路由、降级、限流、缓存、结构化输出、观测与成本归因能力。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选型原则：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针对不同任务选择模型：复杂推理、中文表达、低成本批处理、实时对话和本地部署不应由同一模型一刀切承担。</w:t>
      </w:r>
    </w:p>
    <w:p>
      <w:pPr>
        <w:pStyle w:val="Heading2"/>
      </w:pPr>
      <w:r>
        <w:t>2. Harness、Agent Loop 与工具调用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需要能基于 LangChain、LangGraph、Dify、AutoGen、CrewAI 或等价框架，构建可控的任务编排。重点不是框架名称，而是能让系统完成“规划—执行—检查—重试 / 升级”的可靠循环。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900"/>
        <w:gridCol w:w="3660"/>
      </w:tblGrid>
      <w:tr>
        <w:trPr>
          <w:tblHeader w:val="true"/>
          <w:cantSplit/>
        </w:trPr>
        <w:tc>
          <w:tcPr>
            <w:tcW w:type="dxa" w:w="18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运行环节</w:t>
            </w:r>
          </w:p>
        </w:tc>
        <w:tc>
          <w:tcPr>
            <w:tcW w:type="dxa" w:w="39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工程能力</w:t>
            </w:r>
          </w:p>
        </w:tc>
        <w:tc>
          <w:tcPr>
            <w:tcW w:type="dxa" w:w="36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运动健康示例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获取上下文</w:t>
            </w:r>
          </w:p>
        </w:tc>
        <w:tc>
          <w:tcPr>
            <w:tcW w:type="dxa" w:w="3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读取用户档案、历史训练、目标、近期状态与授权数据。</w:t>
            </w:r>
          </w:p>
        </w:tc>
        <w:tc>
          <w:tcPr>
            <w:tcW w:type="dxa" w:w="36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获取 4 周跑量、心率、睡眠和比赛目标。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规划与调用</w:t>
            </w:r>
          </w:p>
        </w:tc>
        <w:tc>
          <w:tcPr>
            <w:tcW w:type="dxa" w:w="3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任务拆解、工具选择、参数校验、超时与权限控制。</w:t>
            </w:r>
          </w:p>
        </w:tc>
        <w:tc>
          <w:tcPr>
            <w:tcW w:type="dxa" w:w="36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查询训练负荷、恢复规则和相关知识条目。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结果验证</w:t>
            </w:r>
          </w:p>
        </w:tc>
        <w:tc>
          <w:tcPr>
            <w:tcW w:type="dxa" w:w="3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事实校验、规则校验、引用证据、格式验证与风险拦截。</w:t>
            </w:r>
          </w:p>
        </w:tc>
        <w:tc>
          <w:tcPr>
            <w:tcW w:type="dxa" w:w="36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发现连续高负荷且 HRV 下降时，禁止输出加量建议。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反馈优化</w:t>
            </w:r>
          </w:p>
        </w:tc>
        <w:tc>
          <w:tcPr>
            <w:tcW w:type="dxa" w:w="39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记录失败、人工反馈、评测结果与回归样本。</w:t>
            </w:r>
          </w:p>
        </w:tc>
        <w:tc>
          <w:tcPr>
            <w:tcW w:type="dxa" w:w="36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根据用户执行反馈调整计划与风险阈值。</w:t>
            </w:r>
          </w:p>
        </w:tc>
      </w:tr>
    </w:tbl>
    <w:p>
      <w:pPr>
        <w:spacing w:after="20"/>
      </w:pPr>
    </w:p>
    <w:p>
      <w:pPr>
        <w:pStyle w:val="Heading2"/>
      </w:pPr>
      <w:r>
        <w:t>3. RAG 工程能力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数据处理：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PDF / 网页 / 课程资料解析、OCR、清洗、去重、结构化、版本管理和权限控制。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切片与索引：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掌握固定长度、递归、标题与语义切片；能设计 chunk 大小、重叠、元数据和更新策略。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检索与生成：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向量召回、BM25、混合检索、Rerank、引用返回、回答约束与拒答策略。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基础设施：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熟悉 Milvus、FAISS、Chroma 或等价向量库；能完成日志、监控、评测和成本分析。</w:t>
      </w:r>
    </w:p>
    <w:p>
      <w:pPr>
        <w:pStyle w:val="Heading1"/>
      </w:pPr>
      <w:r>
        <w:t>五、岗位三：小程序 / App 工程师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用户入口决定持续使用率。该岗位除了界面开发，更要解决微信生态、设备与健康数据接入、数据同步和隐私授权问题。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300"/>
        <w:gridCol w:w="3260"/>
      </w:tblGrid>
      <w:tr>
        <w:trPr>
          <w:tblHeader w:val="true"/>
          <w:cantSplit/>
        </w:trPr>
        <w:tc>
          <w:tcPr>
            <w:tcW w:type="dxa" w:w="18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能力模块</w:t>
            </w:r>
          </w:p>
        </w:tc>
        <w:tc>
          <w:tcPr>
            <w:tcW w:type="dxa" w:w="43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必须具备</w:t>
            </w:r>
          </w:p>
        </w:tc>
        <w:tc>
          <w:tcPr>
            <w:tcW w:type="dxa" w:w="32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后续扩展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小程序</w:t>
            </w:r>
          </w:p>
        </w:tc>
        <w:tc>
          <w:tcPr>
            <w:tcW w:type="dxa" w:w="43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微信小程序、TypeScript / JavaScript、登录、订阅消息、支付与云开发或后端协作。</w:t>
            </w:r>
          </w:p>
        </w:tc>
        <w:tc>
          <w:tcPr>
            <w:tcW w:type="dxa" w:w="32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训练打卡、社群、会员和服务闭环。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App</w:t>
            </w:r>
          </w:p>
        </w:tc>
        <w:tc>
          <w:tcPr>
            <w:tcW w:type="dxa" w:w="43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Flutter、React Native 或原生 Android / iOS 中至少一条成熟路径。</w:t>
            </w:r>
          </w:p>
        </w:tc>
        <w:tc>
          <w:tcPr>
            <w:tcW w:type="dxa" w:w="32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离线能力、推送、可穿戴设备与高频运动体验。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数据接入</w:t>
            </w:r>
          </w:p>
        </w:tc>
        <w:tc>
          <w:tcPr>
            <w:tcW w:type="dxa" w:w="43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API 对接、同步、异常处理、数据清洗与授权状态管理。</w:t>
            </w:r>
          </w:p>
        </w:tc>
        <w:tc>
          <w:tcPr>
            <w:tcW w:type="dxa" w:w="32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Apple Health、华为运动健康、小米运动、Garmin 等生态的合规接入。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体验与安全</w:t>
            </w:r>
          </w:p>
        </w:tc>
        <w:tc>
          <w:tcPr>
            <w:tcW w:type="dxa" w:w="43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敏感数据最小化、明确授权、用户可理解的建议呈现与风险提示。</w:t>
            </w:r>
          </w:p>
        </w:tc>
        <w:tc>
          <w:tcPr>
            <w:tcW w:type="dxa" w:w="32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数据可携带、删除、审计与分级权限。</w:t>
            </w:r>
          </w:p>
        </w:tc>
      </w:tr>
    </w:tbl>
    <w:p>
      <w:pPr>
        <w:spacing w:after="20"/>
      </w:pPr>
    </w:p>
    <w:p>
      <w:pPr>
        <w:pStyle w:val="Heading1"/>
      </w:pPr>
      <w:r>
        <w:t>六、岗位四：运动健康专家 / 数据专家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真正的垂类壁垒在运动健康知识、指标口径和风险边界。这一角色不以训练基础模型为主要目标，而是以“规则模型 + 专业内容 + AI 解释”保障建议的专业性与安全性。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专业知识：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跑步训练、心率区间、VO₂ Max、恢复周期、训练负荷、伤病风险、营养与睡眠等。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指标体系：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定义输入数据的质量与意义，例如年龄、体重、配速、心率、训练历史、睡眠、HRV 与比赛目标。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规则模型：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将专业判断沉淀为可执行规则：例如连续高负荷训练并伴随恢复指标下降时，建议降低训练量并提示风险。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验收职责：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参与回答正确性、风险提示、内容表达和训练建议可执行性的评审，而不是只在上线后被动背书。</w:t>
      </w:r>
    </w:p>
    <w:p>
      <w:pPr>
        <w:pStyle w:val="Heading1"/>
      </w:pPr>
      <w:r>
        <w:t>七、岗位五：AI Native 产品工程师（可由核心负责人兼任）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该岗位面向团队效率与交付方式建设。早期可以由 AI Native 产品技术负责人兼任；当产品进入多项目并行或持续迭代后，再独立设置。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050"/>
        <w:gridCol w:w="3510"/>
      </w:tblGrid>
      <w:tr>
        <w:trPr>
          <w:tblHeader w:val="true"/>
          <w:cantSplit/>
        </w:trPr>
        <w:tc>
          <w:tcPr>
            <w:tcW w:type="dxa" w:w="18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工作流</w:t>
            </w:r>
          </w:p>
        </w:tc>
        <w:tc>
          <w:tcPr>
            <w:tcW w:type="dxa" w:w="405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目标产出</w:t>
            </w:r>
          </w:p>
        </w:tc>
        <w:tc>
          <w:tcPr>
            <w:tcW w:type="dxa" w:w="351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验收标准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需求到设计</w:t>
            </w:r>
          </w:p>
        </w:tc>
        <w:tc>
          <w:tcPr>
            <w:tcW w:type="dxa" w:w="40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PRD、原型说明、接口字段、风险清单。</w:t>
            </w:r>
          </w:p>
        </w:tc>
        <w:tc>
          <w:tcPr>
            <w:tcW w:type="dxa" w:w="35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需求可追踪，边界与验收条件完整。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设计到开发</w:t>
            </w:r>
          </w:p>
        </w:tc>
        <w:tc>
          <w:tcPr>
            <w:tcW w:type="dxa" w:w="40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任务拆分、代码脚手架、接口文档、测试数据。</w:t>
            </w:r>
          </w:p>
        </w:tc>
        <w:tc>
          <w:tcPr>
            <w:tcW w:type="dxa" w:w="35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开发可独立执行，减少口头交接。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测试到部署</w:t>
            </w:r>
          </w:p>
        </w:tc>
        <w:tc>
          <w:tcPr>
            <w:tcW w:type="dxa" w:w="40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测试用例、回归集、发布说明、监控项。</w:t>
            </w:r>
          </w:p>
        </w:tc>
        <w:tc>
          <w:tcPr>
            <w:tcW w:type="dxa" w:w="35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核心链路可回归，故障可定位。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运营到学习</w:t>
            </w:r>
          </w:p>
        </w:tc>
        <w:tc>
          <w:tcPr>
            <w:tcW w:type="dxa" w:w="40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用户反馈标签、问题样本、改进待办。</w:t>
            </w:r>
          </w:p>
        </w:tc>
        <w:tc>
          <w:tcPr>
            <w:tcW w:type="dxa" w:w="35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反馈进入评测与版本迭代闭环。</w:t>
            </w:r>
          </w:p>
        </w:tc>
      </w:tr>
    </w:tbl>
    <w:p>
      <w:pPr>
        <w:spacing w:after="20"/>
      </w:pPr>
    </w:p>
    <w:p>
      <w:pPr>
        <w:pStyle w:val="Heading1"/>
      </w:pPr>
      <w:r>
        <w:t>八、能力评测与招聘面试建议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建议把面试从“知道多少概念”转向“是否能完成可验证闭环”。候选人即使概念掌握良好，若缺少小程序、运动领域、RAG 工程化或生产评测经验，也应按能力缺口配置搭档，而非期待单人覆盖。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50"/>
        <w:gridCol w:w="3500"/>
        <w:gridCol w:w="4210"/>
      </w:tblGrid>
      <w:tr>
        <w:trPr>
          <w:tblHeader w:val="true"/>
          <w:cantSplit/>
        </w:trPr>
        <w:tc>
          <w:tcPr>
            <w:tcW w:type="dxa" w:w="165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评估项</w:t>
            </w:r>
          </w:p>
        </w:tc>
        <w:tc>
          <w:tcPr>
            <w:tcW w:type="dxa" w:w="35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建议题目 / 作业</w:t>
            </w:r>
          </w:p>
        </w:tc>
        <w:tc>
          <w:tcPr>
            <w:tcW w:type="dxa" w:w="421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看什么</w:t>
            </w:r>
          </w:p>
        </w:tc>
      </w:tr>
      <w:tr>
        <w:trPr>
          <w:cantSplit/>
        </w:trPr>
        <w:tc>
          <w:tcPr>
            <w:tcW w:type="dxa" w:w="16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场景拆解</w:t>
            </w:r>
          </w:p>
        </w:tc>
        <w:tc>
          <w:tcPr>
            <w:tcW w:type="dxa" w:w="35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设计“跑 10 公里后腿酸”的 AI 服务流程。</w:t>
            </w:r>
          </w:p>
        </w:tc>
        <w:tc>
          <w:tcPr>
            <w:tcW w:type="dxa" w:w="42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能否识别数据、规则、风险、工具调用和人工边界。</w:t>
            </w:r>
          </w:p>
        </w:tc>
      </w:tr>
      <w:tr>
        <w:trPr>
          <w:cantSplit/>
        </w:trPr>
        <w:tc>
          <w:tcPr>
            <w:tcW w:type="dxa" w:w="16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RAG 方案</w:t>
            </w:r>
          </w:p>
        </w:tc>
        <w:tc>
          <w:tcPr>
            <w:tcW w:type="dxa" w:w="35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为运动医学资料设计切片、元数据、检索与引用方案。</w:t>
            </w:r>
          </w:p>
        </w:tc>
        <w:tc>
          <w:tcPr>
            <w:tcW w:type="dxa" w:w="42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是否能说明效果指标及错误案例处理。</w:t>
            </w:r>
          </w:p>
        </w:tc>
      </w:tr>
      <w:tr>
        <w:trPr>
          <w:cantSplit/>
        </w:trPr>
        <w:tc>
          <w:tcPr>
            <w:tcW w:type="dxa" w:w="16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Agent 可靠性</w:t>
            </w:r>
          </w:p>
        </w:tc>
        <w:tc>
          <w:tcPr>
            <w:tcW w:type="dxa" w:w="35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让 Agent 生成训练计划并自检。</w:t>
            </w:r>
          </w:p>
        </w:tc>
        <w:tc>
          <w:tcPr>
            <w:tcW w:type="dxa" w:w="42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是否有校验、重试、降级、审计和停止条件。</w:t>
            </w:r>
          </w:p>
        </w:tc>
      </w:tr>
      <w:tr>
        <w:trPr>
          <w:cantSplit/>
        </w:trPr>
        <w:tc>
          <w:tcPr>
            <w:tcW w:type="dxa" w:w="16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快速 Demo</w:t>
            </w:r>
          </w:p>
        </w:tc>
        <w:tc>
          <w:tcPr>
            <w:tcW w:type="dxa" w:w="35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48 小时内完成一个最小验证原型。</w:t>
            </w:r>
          </w:p>
        </w:tc>
        <w:tc>
          <w:tcPr>
            <w:tcW w:type="dxa" w:w="42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AI Native 协作能力、工程质量、可演示性与复盘能力。</w:t>
            </w:r>
          </w:p>
        </w:tc>
      </w:tr>
      <w:tr>
        <w:trPr>
          <w:cantSplit/>
        </w:trPr>
        <w:tc>
          <w:tcPr>
            <w:tcW w:type="dxa" w:w="165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跨端交付</w:t>
            </w:r>
          </w:p>
        </w:tc>
        <w:tc>
          <w:tcPr>
            <w:tcW w:type="dxa" w:w="35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说明小程序 / App 与运动数据接入方案。</w:t>
            </w:r>
          </w:p>
        </w:tc>
        <w:tc>
          <w:tcPr>
            <w:tcW w:type="dxa" w:w="421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是否理解授权、同步、异常、隐私和用户体验。</w:t>
            </w:r>
          </w:p>
        </w:tc>
      </w:tr>
    </w:tbl>
    <w:p>
      <w:pPr>
        <w:spacing w:after="20"/>
      </w:pPr>
    </w:p>
    <w:p>
      <w:pPr>
        <w:pStyle w:val="Heading1"/>
      </w:pPr>
      <w:r>
        <w:t>九、招聘顺序与 90 天启动建议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000"/>
        <w:gridCol w:w="3660"/>
      </w:tblGrid>
      <w:tr>
        <w:trPr>
          <w:tblHeader w:val="true"/>
          <w:cantSplit/>
        </w:trPr>
        <w:tc>
          <w:tcPr>
            <w:tcW w:type="dxa" w:w="17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阶段</w:t>
            </w:r>
          </w:p>
        </w:tc>
        <w:tc>
          <w:tcPr>
            <w:tcW w:type="dxa" w:w="400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人员与重点</w:t>
            </w:r>
          </w:p>
        </w:tc>
        <w:tc>
          <w:tcPr>
            <w:tcW w:type="dxa" w:w="36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2F4F7"/>
          </w:tcPr>
          <w:p>
            <w:pPr>
              <w:pStyle w:val="TableText"/>
              <w:jc w:val="center"/>
            </w:pPr>
            <w:r>
              <w:rPr>
                <w:rFonts w:ascii="Arial Unicode MS" w:hAnsi="Arial Unicode MS" w:eastAsia="Arial Unicode MS"/>
                <w:b/>
                <w:i w:val="0"/>
                <w:color w:val="0B2545"/>
                <w:sz w:val="18"/>
              </w:rPr>
              <w:t>阶段产出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0–30 天</w:t>
            </w:r>
          </w:p>
        </w:tc>
        <w:tc>
          <w:tcPr>
            <w:tcW w:type="dxa" w:w="40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确定 AI Native 产品技术负责人；补齐 AI 应用与跨端工程。完成一个高价值场景选择。</w:t>
            </w:r>
          </w:p>
        </w:tc>
        <w:tc>
          <w:tcPr>
            <w:tcW w:type="dxa" w:w="36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MVP 边界、数据字典、知识库样本、评测集初版、可演示原型。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31–60 天</w:t>
            </w:r>
          </w:p>
        </w:tc>
        <w:tc>
          <w:tcPr>
            <w:tcW w:type="dxa" w:w="40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引入运动健康专家深度参与；搭建 RAG / Agent / 观测基础能力。</w:t>
            </w:r>
          </w:p>
        </w:tc>
        <w:tc>
          <w:tcPr>
            <w:tcW w:type="dxa" w:w="36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训练建议闭环、风险规则、引用回答、模型评测与小程序 / App 主链路。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61–90 天</w:t>
            </w:r>
          </w:p>
        </w:tc>
        <w:tc>
          <w:tcPr>
            <w:tcW w:type="dxa" w:w="400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基于真实用户测试优化；明确是否扩充 App、设备接入或内容运营。</w:t>
            </w:r>
          </w:p>
        </w:tc>
        <w:tc>
          <w:tcPr>
            <w:tcW w:type="dxa" w:w="3660"/>
          </w:tcPr>
          <w:p>
            <w:pPr>
              <w:pStyle w:val="TableText"/>
            </w:pP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18"/>
              </w:rPr>
              <w:t>可用 Beta、效果基线、问题样本库、迭代路线图与招聘补位决策。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60" w:type="dxa"/>
              <w:start w:w="120" w:type="dxa"/>
              <w:bottom w:w="60" w:type="dxa"/>
              <w:end w:w="120" w:type="dxa"/>
            </w:tcMar>
            <w:vAlign w:val="center"/>
            <w:shd w:fill="F4F6F9"/>
          </w:tcPr>
          <w:p>
            <w:pPr>
              <w:spacing w:after="0" w:line="269" w:lineRule="auto"/>
            </w:pPr>
            <w:r>
              <w:rPr>
                <w:rFonts w:ascii="Arial Unicode MS" w:hAnsi="Arial Unicode MS" w:eastAsia="Arial Unicode MS"/>
                <w:b/>
                <w:i w:val="0"/>
                <w:color w:val="1F4D78"/>
                <w:sz w:val="22"/>
              </w:rPr>
              <w:t xml:space="preserve">招聘优先级  </w:t>
            </w:r>
            <w:r>
              <w:rPr>
                <w:rFonts w:ascii="Arial Unicode MS" w:hAnsi="Arial Unicode MS" w:eastAsia="Arial Unicode MS"/>
                <w:b w:val="0"/>
                <w:i w:val="0"/>
                <w:color w:val="0B2545"/>
                <w:sz w:val="22"/>
              </w:rPr>
              <w:t>先招能把产品与工程闭环跑起来的 AI Native 产品技术负责人和 AI 应用工程师；再补齐小程序 / App 交付能力；运动健康专家必须尽早参与规则与验收，但可先采用顾问 / 合作形式。</w:t>
            </w:r>
          </w:p>
        </w:tc>
      </w:tr>
    </w:tbl>
    <w:p>
      <w:pPr>
        <w:spacing w:after="20"/>
      </w:pPr>
    </w:p>
    <w:p>
      <w:pPr>
        <w:pStyle w:val="Heading1"/>
      </w:pPr>
      <w:r>
        <w:t>十、最终建议</w:t>
      </w:r>
    </w:p>
    <w:p>
      <w:pPr>
        <w:spacing w:after="120"/>
      </w:pP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建议以“1 个 AI Native 核心人才 + 2 个工程人才 + 1 个运动健康专家”作为初始组织骨架。核心不是追求单人全栈，而是在最短时间内形成：用户入口可用、专业知识可检索、建议有边界、效果可评测、反馈可迭代的运动健康 AI 产品闭环。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第一优先级：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AI Native 产品技术负责人：懂产品、懂 AI、能做 Demo、能定义效果与风险边界。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第二优先级：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AI 应用工程师：Python、Agent / Harness、RAG、模型接入、工具调用与评测。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第三优先级：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小程序 / App 工程师：微信生态、跨端、运动数据接口、数据同步与体验交付。</w:t>
      </w:r>
    </w:p>
    <w:p>
      <w:pPr>
        <w:spacing w:after="60"/>
        <w:ind w:left="115" w:hanging="115"/>
      </w:pPr>
      <w:r>
        <w:rPr>
          <w:rFonts w:ascii="Arial Unicode MS" w:hAnsi="Arial Unicode MS" w:eastAsia="Arial Unicode MS"/>
          <w:b/>
          <w:i w:val="0"/>
          <w:color w:val="1F4D78"/>
          <w:sz w:val="22"/>
        </w:rPr>
        <w:t>第四优先级：</w:t>
      </w:r>
      <w:r>
        <w:rPr>
          <w:rFonts w:ascii="Arial Unicode MS" w:hAnsi="Arial Unicode MS" w:eastAsia="Arial Unicode MS"/>
          <w:b w:val="0"/>
          <w:i w:val="0"/>
          <w:color w:val="0B2545"/>
          <w:sz w:val="22"/>
        </w:rPr>
        <w:t>运动健康专家：训练与健康知识、指标与规则、内容体系和专业验收。</w:t>
      </w:r>
    </w:p>
    <w:p>
      <w:pPr>
        <w:spacing w:before="280" w:after="0"/>
      </w:pPr>
      <w:r>
        <w:rPr>
          <w:rFonts w:ascii="Arial Unicode MS" w:hAnsi="Arial Unicode MS" w:eastAsia="Arial Unicode MS"/>
          <w:b w:val="0"/>
          <w:i/>
          <w:color w:val="555555"/>
          <w:sz w:val="19"/>
        </w:rPr>
        <w:t>说明：本建议基于提供的面试纪要摘要及业务方向整理。涉及医疗、健康数据、跨境模型与第三方平台接入时，实际产品落地须另行完成合规、隐私与接口可用性评估。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 Unicode MS" w:hAnsi="Arial Unicode MS" w:eastAsia="Arial Unicode MS"/>
        <w:b w:val="0"/>
        <w:i w:val="0"/>
        <w:color w:val="555555"/>
        <w:sz w:val="18"/>
      </w:rPr>
      <w:t xml:space="preserve">第 </w:t>
    </w:r>
    <w:fldSimple w:instr="PAGE"/>
    <w:r>
      <w:rPr>
        <w:rFonts w:ascii="Arial Unicode MS" w:hAnsi="Arial Unicode MS" w:eastAsia="Arial Unicode MS"/>
        <w:b w:val="0"/>
        <w:i w:val="0"/>
        <w:color w:val="555555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 Unicode MS" w:hAnsi="Arial Unicode MS" w:eastAsia="Arial Unicode MS"/>
        <w:b w:val="0"/>
        <w:i w:val="0"/>
        <w:color w:val="555555"/>
        <w:sz w:val="18"/>
      </w:rPr>
      <w:t>AI 产品团队配置建议｜运动健康方向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rial Unicode MS" w:hAnsi="Arial Unicode MS" w:eastAsia="Arial Unicode MS"/>
      <w:color w:val="0B254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 Text"/>
    <w:pPr>
      <w:spacing w:after="0" w:line="252" w:lineRule="auto"/>
    </w:pPr>
    <w:rPr>
      <w:rFonts w:ascii="Arial Unicode MS" w:hAnsi="Arial Unicode MS" w:eastAsia="Arial Unicode MS"/>
      <w:color w:val="0B254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