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0" w:after="240" w:line="264" w:lineRule="auto"/>
      </w:pPr>
    </w:p>
    <w:p>
      <w:pPr>
        <w:widowControl/>
        <w:spacing w:before="0" w:after="240" w:line="264" w:lineRule="auto"/>
      </w:pPr>
    </w:p>
    <w:p>
      <w:pPr>
        <w:widowControl/>
        <w:spacing w:before="0" w:after="240" w:line="264" w:lineRule="auto"/>
      </w:pPr>
    </w:p>
    <w:p>
      <w:pPr>
        <w:widowControl/>
        <w:spacing w:before="0" w:after="240" w:line="264" w:lineRule="auto"/>
      </w:pPr>
    </w:p>
    <w:p>
      <w:pPr>
        <w:widowControl/>
        <w:spacing w:before="0" w:after="240" w:line="264" w:lineRule="auto"/>
      </w:pPr>
    </w:p>
    <w:p>
      <w:pPr>
        <w:widowControl/>
        <w:spacing w:before="0" w:after="360" w:line="264" w:lineRule="auto"/>
        <w:jc w:val="center"/>
      </w:pPr>
      <w:r>
        <w:rPr>
          <w:rFonts w:ascii="Arial Unicode MS" w:hAnsi="Arial Unicode MS" w:eastAsia="Arial Unicode MS"/>
          <w:b/>
          <w:color w:val="2A8C74"/>
          <w:sz w:val="20"/>
        </w:rPr>
        <w:t>PRODUCT TEARDOWN · ENDURANCE NUTRITION</w:t>
      </w:r>
    </w:p>
    <w:p>
      <w:pPr>
        <w:widowControl/>
        <w:spacing w:before="0" w:after="160" w:line="240" w:lineRule="auto"/>
        <w:jc w:val="center"/>
      </w:pPr>
      <w:r>
        <w:rPr>
          <w:rFonts w:ascii="Arial Unicode MS" w:hAnsi="Arial Unicode MS" w:eastAsia="Arial Unicode MS"/>
          <w:b/>
          <w:color w:val="1F4D78"/>
          <w:sz w:val="60"/>
        </w:rPr>
        <w:t>MAVR 深度产品分析</w:t>
      </w:r>
    </w:p>
    <w:p>
      <w:pPr>
        <w:pStyle w:val="Subtitle"/>
        <w:widowControl/>
        <w:spacing w:before="0" w:after="400" w:line="240" w:lineRule="auto"/>
        <w:jc w:val="center"/>
      </w:pPr>
      <w:r>
        <w:rPr>
          <w:rFonts w:ascii="Arial Unicode MS" w:hAnsi="Arial Unicode MS" w:eastAsia="Arial Unicode MS"/>
          <w:color w:val="617080"/>
          <w:sz w:val="28"/>
        </w:rPr>
        <w:t>从产品经理视角拆解功能、增长、商业化、壁垒与中国市场机会</w:t>
      </w:r>
    </w:p>
    <w:p>
      <w:pPr>
        <w:widowControl/>
        <w:spacing w:before="0" w:after="400" w:line="264" w:lineRule="auto"/>
        <w:pBdr>
          <w:bottom w:val="single" w:sz="14" w:space="4" w:color="2A8C74"/>
        </w:pBdr>
      </w:pPr>
    </w:p>
    <w:p>
      <w:pPr>
        <w:widowControl/>
        <w:spacing w:before="0" w:after="160" w:line="264" w:lineRule="auto"/>
        <w:jc w:val="center"/>
      </w:pPr>
      <w:r>
        <w:rPr>
          <w:rFonts w:ascii="Arial Unicode MS" w:hAnsi="Arial Unicode MS" w:eastAsia="Arial Unicode MS"/>
          <w:b/>
          <w:color w:val="1F4D78"/>
          <w:sz w:val="22"/>
        </w:rPr>
        <w:t>研究日期：2026年8月5日</w:t>
      </w:r>
    </w:p>
    <w:p>
      <w:pPr>
        <w:widowControl/>
        <w:spacing w:before="0" w:after="960" w:line="264" w:lineRule="auto"/>
        <w:jc w:val="center"/>
      </w:pPr>
      <w:r>
        <w:rPr>
          <w:rFonts w:ascii="Arial Unicode MS" w:hAnsi="Arial Unicode MS" w:eastAsia="Arial Unicode MS"/>
          <w:color w:val="617080"/>
          <w:sz w:val="19"/>
        </w:rPr>
        <w:t>证据范围：官网、App Store、服务条款、版本记录与公开产品页面</w:t>
      </w:r>
    </w:p>
    <w:p>
      <w:pPr>
        <w:widowControl/>
        <w:spacing w:before="600" w:after="120" w:line="300" w:lineRule="auto"/>
        <w:jc w:val="center"/>
      </w:pPr>
      <w:r>
        <w:rPr>
          <w:rFonts w:ascii="Arial Unicode MS" w:hAnsi="Arial Unicode MS" w:eastAsia="Arial Unicode MS"/>
          <w:b/>
          <w:color w:val="1F4D78"/>
          <w:sz w:val="30"/>
        </w:rPr>
        <w:t>MAVR不是普通饮食记录工具，</w:t>
        <w:br/>
        <w:t>而是一套由训练日历驱动的耐力运动营养决策系统。</w:t>
      </w:r>
    </w:p>
    <w:p>
      <w:r>
        <w:br w:type="page"/>
      </w:r>
    </w:p>
    <w:p>
      <w:pPr>
        <w:pStyle w:val="Heading1"/>
      </w:pPr>
      <w:r>
        <w:t>目录</w:t>
      </w:r>
    </w:p>
    <w:p>
      <w:pPr>
        <w:keepLines/>
        <w:widowControl/>
        <w:spacing w:before="0" w:after="80" w:line="264" w:lineRule="auto"/>
      </w:pPr>
      <w:r>
        <w:rPr>
          <w:rFonts w:ascii="Arial Unicode MS" w:hAnsi="Arial Unicode MS" w:eastAsia="Arial Unicode MS"/>
          <w:b/>
          <w:color w:val="1F4D78"/>
          <w:sz w:val="21"/>
        </w:rPr>
        <w:t>执行摘要</w:t>
      </w:r>
      <w:r>
        <w:rPr>
          <w:rFonts w:ascii="Arial Unicode MS" w:hAnsi="Arial Unicode MS" w:eastAsia="Arial Unicode MS"/>
          <w:color w:val="617080"/>
          <w:sz w:val="19"/>
        </w:rPr>
        <w:t xml:space="preserve">  ·  定位、核心判断与优先结论</w:t>
      </w:r>
    </w:p>
    <w:p>
      <w:pPr>
        <w:keepLines/>
        <w:widowControl/>
        <w:spacing w:before="0" w:after="80" w:line="264" w:lineRule="auto"/>
      </w:pPr>
      <w:r>
        <w:rPr>
          <w:rFonts w:ascii="Arial Unicode MS" w:hAnsi="Arial Unicode MS" w:eastAsia="Arial Unicode MS"/>
          <w:b/>
          <w:color w:val="1F4D78"/>
          <w:sz w:val="21"/>
        </w:rPr>
        <w:t>1. 产品定位与基本画像</w:t>
      </w:r>
      <w:r>
        <w:rPr>
          <w:rFonts w:ascii="Arial Unicode MS" w:hAnsi="Arial Unicode MS" w:eastAsia="Arial Unicode MS"/>
          <w:color w:val="617080"/>
          <w:sz w:val="19"/>
        </w:rPr>
        <w:t xml:space="preserve">  ·  产品定义、目标用户与价值主张</w:t>
      </w:r>
    </w:p>
    <w:p>
      <w:pPr>
        <w:keepLines/>
        <w:widowControl/>
        <w:spacing w:before="0" w:after="80" w:line="264" w:lineRule="auto"/>
      </w:pPr>
      <w:r>
        <w:rPr>
          <w:rFonts w:ascii="Arial Unicode MS" w:hAnsi="Arial Unicode MS" w:eastAsia="Arial Unicode MS"/>
          <w:b/>
          <w:color w:val="1F4D78"/>
          <w:sz w:val="21"/>
        </w:rPr>
        <w:t>2. 用户需求与使用场景</w:t>
      </w:r>
      <w:r>
        <w:rPr>
          <w:rFonts w:ascii="Arial Unicode MS" w:hAnsi="Arial Unicode MS" w:eastAsia="Arial Unicode MS"/>
          <w:color w:val="617080"/>
          <w:sz w:val="19"/>
        </w:rPr>
        <w:t xml:space="preserve">  ·  JTBD、核心痛点与触发时刻</w:t>
      </w:r>
    </w:p>
    <w:p>
      <w:pPr>
        <w:keepLines/>
        <w:widowControl/>
        <w:spacing w:before="0" w:after="80" w:line="264" w:lineRule="auto"/>
      </w:pPr>
      <w:r>
        <w:rPr>
          <w:rFonts w:ascii="Arial Unicode MS" w:hAnsi="Arial Unicode MS" w:eastAsia="Arial Unicode MS"/>
          <w:b/>
          <w:color w:val="1F4D78"/>
          <w:sz w:val="21"/>
        </w:rPr>
        <w:t>3. 产品功能架构</w:t>
      </w:r>
      <w:r>
        <w:rPr>
          <w:rFonts w:ascii="Arial Unicode MS" w:hAnsi="Arial Unicode MS" w:eastAsia="Arial Unicode MS"/>
          <w:color w:val="617080"/>
          <w:sz w:val="19"/>
        </w:rPr>
        <w:t xml:space="preserve">  ·  数据输入、决策引擎、执行触达与闭环</w:t>
      </w:r>
    </w:p>
    <w:p>
      <w:pPr>
        <w:keepLines/>
        <w:widowControl/>
        <w:spacing w:before="0" w:after="80" w:line="264" w:lineRule="auto"/>
      </w:pPr>
      <w:r>
        <w:rPr>
          <w:rFonts w:ascii="Arial Unicode MS" w:hAnsi="Arial Unicode MS" w:eastAsia="Arial Unicode MS"/>
          <w:b/>
          <w:color w:val="1F4D78"/>
          <w:sz w:val="21"/>
        </w:rPr>
        <w:t>4. 功能点详细拆解</w:t>
      </w:r>
      <w:r>
        <w:rPr>
          <w:rFonts w:ascii="Arial Unicode MS" w:hAnsi="Arial Unicode MS" w:eastAsia="Arial Unicode MS"/>
          <w:color w:val="617080"/>
          <w:sz w:val="19"/>
        </w:rPr>
        <w:t xml:space="preserve">  ·  十四项功能模块及产品判断</w:t>
      </w:r>
    </w:p>
    <w:p>
      <w:pPr>
        <w:keepLines/>
        <w:widowControl/>
        <w:spacing w:before="0" w:after="80" w:line="264" w:lineRule="auto"/>
      </w:pPr>
      <w:r>
        <w:rPr>
          <w:rFonts w:ascii="Arial Unicode MS" w:hAnsi="Arial Unicode MS" w:eastAsia="Arial Unicode MS"/>
          <w:b/>
          <w:color w:val="1F4D78"/>
          <w:sz w:val="21"/>
        </w:rPr>
        <w:t>5. 核心用户流程分析</w:t>
      </w:r>
      <w:r>
        <w:rPr>
          <w:rFonts w:ascii="Arial Unicode MS" w:hAnsi="Arial Unicode MS" w:eastAsia="Arial Unicode MS"/>
          <w:color w:val="617080"/>
          <w:sz w:val="19"/>
        </w:rPr>
        <w:t xml:space="preserve">  ·  赛前规划、赛中执行与赛后复盘</w:t>
      </w:r>
    </w:p>
    <w:p>
      <w:pPr>
        <w:keepLines/>
        <w:widowControl/>
        <w:spacing w:before="0" w:after="80" w:line="264" w:lineRule="auto"/>
      </w:pPr>
      <w:r>
        <w:rPr>
          <w:rFonts w:ascii="Arial Unicode MS" w:hAnsi="Arial Unicode MS" w:eastAsia="Arial Unicode MS"/>
          <w:b/>
          <w:color w:val="1F4D78"/>
          <w:sz w:val="21"/>
        </w:rPr>
        <w:t>6. 增长、商业化与留存机制</w:t>
      </w:r>
      <w:r>
        <w:rPr>
          <w:rFonts w:ascii="Arial Unicode MS" w:hAnsi="Arial Unicode MS" w:eastAsia="Arial Unicode MS"/>
          <w:color w:val="617080"/>
          <w:sz w:val="19"/>
        </w:rPr>
        <w:t xml:space="preserve">  ·  增长飞轮、订阅价值与复购逻辑</w:t>
      </w:r>
    </w:p>
    <w:p>
      <w:pPr>
        <w:keepLines/>
        <w:widowControl/>
        <w:spacing w:before="0" w:after="80" w:line="264" w:lineRule="auto"/>
      </w:pPr>
      <w:r>
        <w:rPr>
          <w:rFonts w:ascii="Arial Unicode MS" w:hAnsi="Arial Unicode MS" w:eastAsia="Arial Unicode MS"/>
          <w:b/>
          <w:color w:val="1F4D78"/>
          <w:sz w:val="21"/>
        </w:rPr>
        <w:t>7. 竞争壁垒与主要风险</w:t>
      </w:r>
      <w:r>
        <w:rPr>
          <w:rFonts w:ascii="Arial Unicode MS" w:hAnsi="Arial Unicode MS" w:eastAsia="Arial Unicode MS"/>
          <w:color w:val="617080"/>
          <w:sz w:val="19"/>
        </w:rPr>
        <w:t xml:space="preserve">  ·  可建立的壁垒、短板与风险控制</w:t>
      </w:r>
    </w:p>
    <w:p>
      <w:pPr>
        <w:keepLines/>
        <w:widowControl/>
        <w:spacing w:before="0" w:after="80" w:line="264" w:lineRule="auto"/>
      </w:pPr>
      <w:r>
        <w:rPr>
          <w:rFonts w:ascii="Arial Unicode MS" w:hAnsi="Arial Unicode MS" w:eastAsia="Arial Unicode MS"/>
          <w:b/>
          <w:color w:val="1F4D78"/>
          <w:sz w:val="21"/>
        </w:rPr>
        <w:t>8. 产品经理综合评价</w:t>
      </w:r>
      <w:r>
        <w:rPr>
          <w:rFonts w:ascii="Arial Unicode MS" w:hAnsi="Arial Unicode MS" w:eastAsia="Arial Unicode MS"/>
          <w:color w:val="617080"/>
          <w:sz w:val="19"/>
        </w:rPr>
        <w:t xml:space="preserve">  ·  维度评分与阶段判断</w:t>
      </w:r>
    </w:p>
    <w:p>
      <w:pPr>
        <w:keepLines/>
        <w:widowControl/>
        <w:spacing w:before="0" w:after="80" w:line="264" w:lineRule="auto"/>
      </w:pPr>
      <w:r>
        <w:rPr>
          <w:rFonts w:ascii="Arial Unicode MS" w:hAnsi="Arial Unicode MS" w:eastAsia="Arial Unicode MS"/>
          <w:b/>
          <w:color w:val="1F4D78"/>
          <w:sz w:val="21"/>
        </w:rPr>
        <w:t>9. 面向中国市场的产品路线图</w:t>
      </w:r>
      <w:r>
        <w:rPr>
          <w:rFonts w:ascii="Arial Unicode MS" w:hAnsi="Arial Unicode MS" w:eastAsia="Arial Unicode MS"/>
          <w:color w:val="617080"/>
          <w:sz w:val="19"/>
        </w:rPr>
        <w:t xml:space="preserve">  ·  本地化优先级与三个阶段</w:t>
      </w:r>
    </w:p>
    <w:p>
      <w:pPr>
        <w:keepLines/>
        <w:widowControl/>
        <w:spacing w:before="0" w:after="80" w:line="264" w:lineRule="auto"/>
      </w:pPr>
      <w:r>
        <w:rPr>
          <w:rFonts w:ascii="Arial Unicode MS" w:hAnsi="Arial Unicode MS" w:eastAsia="Arial Unicode MS"/>
          <w:b/>
          <w:color w:val="1F4D78"/>
          <w:sz w:val="21"/>
        </w:rPr>
        <w:t>10. 建议的核心指标体系</w:t>
      </w:r>
      <w:r>
        <w:rPr>
          <w:rFonts w:ascii="Arial Unicode MS" w:hAnsi="Arial Unicode MS" w:eastAsia="Arial Unicode MS"/>
          <w:color w:val="617080"/>
          <w:sz w:val="19"/>
        </w:rPr>
        <w:t xml:space="preserve">  ·  北极星指标、漏斗与健康度指标</w:t>
      </w:r>
    </w:p>
    <w:p>
      <w:pPr>
        <w:keepLines/>
        <w:widowControl/>
        <w:spacing w:before="0" w:after="80" w:line="264" w:lineRule="auto"/>
      </w:pPr>
      <w:r>
        <w:rPr>
          <w:rFonts w:ascii="Arial Unicode MS" w:hAnsi="Arial Unicode MS" w:eastAsia="Arial Unicode MS"/>
          <w:b/>
          <w:color w:val="1F4D78"/>
          <w:sz w:val="21"/>
        </w:rPr>
        <w:t>附录：研究方法与主要来源</w:t>
      </w:r>
      <w:r>
        <w:rPr>
          <w:rFonts w:ascii="Arial Unicode MS" w:hAnsi="Arial Unicode MS" w:eastAsia="Arial Unicode MS"/>
          <w:color w:val="617080"/>
          <w:sz w:val="19"/>
        </w:rPr>
        <w:t xml:space="preserve">  ·  事实来源、推断边界与链接</w:t>
      </w:r>
    </w:p>
    <w:p>
      <w:pPr>
        <w:widowControl/>
        <w:spacing w:before="0" w:after="120" w:line="264" w:lineRule="auto"/>
      </w:pPr>
      <w:r>
        <w:rPr>
          <w:rFonts w:ascii="Arial Unicode MS" w:hAnsi="Arial Unicode MS" w:eastAsia="Arial Unicode MS"/>
          <w:color w:val="617080"/>
        </w:rPr>
        <w:t>阅读提示：文中“已核实功能”来自公开材料；“产品判断”属于基于公开证据的产品经理分析。</w:t>
      </w:r>
    </w:p>
    <w:p>
      <w:r>
        <w:br w:type="page"/>
      </w:r>
    </w:p>
    <w:p>
      <w:pPr>
        <w:pStyle w:val="Heading1"/>
      </w:pPr>
      <w:r>
        <w:t>执行摘要</w:t>
      </w:r>
    </w:p>
    <w:tbl>
      <w:tblPr>
        <w:tblW w:type="dxa" w:w="9360"/>
        <w:jc w:val="left"/>
        <w:tblLayout w:type="fixed"/>
        <w:tblLook w:firstColumn="1" w:firstRow="1" w:lastColumn="0" w:lastRow="0" w:noHBand="0" w:noVBand="1" w:val="04A0"/>
        <w:tblInd w:w="120" w:type="dxa"/>
      </w:tblPr>
      <w:tblGrid>
        <w:gridCol w:w="9360"/>
      </w:tblGrid>
      <w:tr>
        <w:trPr>
          <w:cantSplit/>
          <w:tblHeader w:val="true"/>
        </w:trPr>
        <w:tc>
          <w:tcPr>
            <w:tcW w:type="dxa" w:w="9360"/>
            <w:tcMar>
              <w:top w:w="160" w:type="dxa"/>
              <w:start w:w="200" w:type="dxa"/>
              <w:bottom w:w="160" w:type="dxa"/>
              <w:end w:w="200" w:type="dxa"/>
            </w:tcMar>
            <w:vAlign w:val="center"/>
            <w:shd w:fill="E7F3EF" w:val="clear"/>
          </w:tcPr>
          <w:p>
            <w:pPr>
              <w:widowControl/>
              <w:spacing w:before="0" w:after="80" w:line="264" w:lineRule="auto"/>
            </w:pPr>
            <w:r>
              <w:rPr>
                <w:rFonts w:ascii="Arial Unicode MS" w:hAnsi="Arial Unicode MS" w:eastAsia="Arial Unicode MS"/>
                <w:b/>
                <w:color w:val="2A8C74"/>
                <w:sz w:val="22"/>
              </w:rPr>
              <w:t>核心结论</w:t>
            </w:r>
          </w:p>
          <w:p>
            <w:pPr>
              <w:widowControl/>
              <w:spacing w:before="0" w:after="0" w:line="276" w:lineRule="auto"/>
            </w:pPr>
            <w:r>
              <w:rPr>
                <w:rFonts w:ascii="Arial Unicode MS" w:hAnsi="Arial Unicode MS" w:eastAsia="Arial Unicode MS"/>
                <w:color w:val="1D2733"/>
                <w:sz w:val="21"/>
              </w:rPr>
              <w:t>MAVR最重要的产品资产不是AI聊天，而是将未来训练需求、食品与补给品、天气与汗率、赛事路线和补给站串成连续决策工作流。其优势是可执行性，短板是估算可信度、数据质量、早期产品可靠性以及中国本地化。</w:t>
            </w:r>
          </w:p>
        </w:tc>
      </w:tr>
    </w:tbl>
    <w:p>
      <w:pPr>
        <w:widowControl/>
        <w:spacing w:before="0" w:after="40" w:line="264" w:lineRule="auto"/>
      </w:pPr>
    </w:p>
    <w:p>
      <w:pPr>
        <w:widowControl/>
        <w:spacing w:before="0" w:after="120" w:line="264" w:lineRule="auto"/>
      </w:pPr>
      <w:r>
        <w:rPr>
          <w:rFonts w:ascii="Arial Unicode MS" w:hAnsi="Arial Unicode MS" w:eastAsia="Arial Unicode MS"/>
          <w:color w:val="1D2733"/>
        </w:rPr>
        <w:t>MAVR面向正在执行结构化训练计划或备战比赛的业余耐力运动员。它读取训练日历和身体数据，动态计算每日热量、碳水、蛋白质、水分及训练中补给，再通过餐时计划、Fuel Kit、比赛路线和AI营养教练Kai转化为行动。</w:t>
      </w:r>
    </w:p>
    <w:p>
      <w:pPr>
        <w:widowControl/>
        <w:spacing w:before="0" w:after="120" w:line="264" w:lineRule="auto"/>
      </w:pPr>
      <w:r>
        <w:rPr>
          <w:rFonts w:ascii="Arial Unicode MS" w:hAnsi="Arial Unicode MS" w:eastAsia="Arial Unicode MS"/>
          <w:color w:val="1D2733"/>
        </w:rPr>
        <w:t>从产品经理视角看，MAVR已经形成“训练输入—营养计算—执行工具—记录反馈”的完整骨架，但尚不能从公开资料证明其具备真实个体学习闭环、科学有效性或产品市场匹配。</w:t>
      </w:r>
    </w:p>
    <w:tbl>
      <w:tblPr>
        <w:tblW w:type="dxa" w:w="9360"/>
        <w:tblLayout w:type="fixed"/>
        <w:tblLook w:firstColumn="1" w:firstRow="1" w:lastColumn="0" w:lastRow="0" w:noHBand="0" w:noVBand="1" w:val="04A0"/>
        <w:jc w:val="left"/>
        <w:tblInd w:w="120" w:type="dxa"/>
      </w:tblPr>
      <w:tblGrid>
        <w:gridCol w:w="2200"/>
        <w:gridCol w:w="7160"/>
      </w:tblGrid>
      <w:tr>
        <w:trPr>
          <w:cantSplit/>
          <w:tblHeader w:val="true"/>
          <w:cantSplit/>
        </w:trPr>
        <w:tc>
          <w:tcPr>
            <w:tcW w:type="dxa" w:w="2200"/>
            <w:tcMar>
              <w:top w:w="80" w:type="dxa"/>
              <w:start w:w="120" w:type="dxa"/>
              <w:bottom w:w="80" w:type="dxa"/>
              <w:end w:w="120" w:type="dxa"/>
            </w:tcMar>
            <w:vAlign w:val="center"/>
            <w:shd w:fill="E8EEF5" w:val="clear"/>
          </w:tcPr>
          <w:p>
            <w:pPr>
              <w:widowControl/>
              <w:spacing w:before="0" w:after="0" w:line="240" w:lineRule="auto"/>
              <w:jc w:val="center"/>
            </w:pPr>
            <w:r>
              <w:rPr>
                <w:rFonts w:ascii="Arial Unicode MS" w:hAnsi="Arial Unicode MS" w:eastAsia="Arial Unicode MS"/>
                <w:b/>
                <w:color w:val="1F4D78"/>
                <w:sz w:val="19"/>
              </w:rPr>
              <w:t>维度</w:t>
            </w:r>
          </w:p>
        </w:tc>
        <w:tc>
          <w:tcPr>
            <w:tcW w:type="dxa" w:w="7160"/>
            <w:tcMar>
              <w:top w:w="80" w:type="dxa"/>
              <w:start w:w="120" w:type="dxa"/>
              <w:bottom w:w="80" w:type="dxa"/>
              <w:end w:w="120" w:type="dxa"/>
            </w:tcMar>
            <w:vAlign w:val="center"/>
            <w:shd w:fill="E8EEF5" w:val="clear"/>
          </w:tcPr>
          <w:p>
            <w:pPr>
              <w:widowControl/>
              <w:spacing w:before="0" w:after="0" w:line="240" w:lineRule="auto"/>
              <w:jc w:val="center"/>
            </w:pPr>
            <w:r>
              <w:rPr>
                <w:rFonts w:ascii="Arial Unicode MS" w:hAnsi="Arial Unicode MS" w:eastAsia="Arial Unicode MS"/>
                <w:b/>
                <w:color w:val="1F4D78"/>
                <w:sz w:val="19"/>
              </w:rPr>
              <w:t>判断</w:t>
            </w:r>
          </w:p>
        </w:tc>
      </w:tr>
      <w:tr>
        <w:trPr>
          <w:cantSplit/>
        </w:trPr>
        <w:tc>
          <w:tcPr>
            <w:tcW w:type="dxa" w:w="22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产品本质</w:t>
            </w:r>
          </w:p>
        </w:tc>
        <w:tc>
          <w:tcPr>
            <w:tcW w:type="dxa" w:w="71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耐力运动营养决策系统，而非普通卡路里记录App</w:t>
            </w:r>
          </w:p>
        </w:tc>
      </w:tr>
      <w:tr>
        <w:trPr>
          <w:cantSplit/>
        </w:trPr>
        <w:tc>
          <w:tcPr>
            <w:tcW w:type="dxa" w:w="22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最强功能</w:t>
            </w:r>
          </w:p>
        </w:tc>
        <w:tc>
          <w:tcPr>
            <w:tcW w:type="dxa" w:w="71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训练负荷驱动的每日营养、训练中补给和比赛路线计划</w:t>
            </w:r>
          </w:p>
        </w:tc>
      </w:tr>
      <w:tr>
        <w:trPr>
          <w:cantSplit/>
        </w:trPr>
        <w:tc>
          <w:tcPr>
            <w:tcW w:type="dxa" w:w="22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核心入口</w:t>
            </w:r>
          </w:p>
        </w:tc>
        <w:tc>
          <w:tcPr>
            <w:tcW w:type="dxa" w:w="71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连接训练日历，自动识别未来重点训练和目标赛事</w:t>
            </w:r>
          </w:p>
        </w:tc>
      </w:tr>
      <w:tr>
        <w:trPr>
          <w:cantSplit/>
        </w:trPr>
        <w:tc>
          <w:tcPr>
            <w:tcW w:type="dxa" w:w="22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增长抓手</w:t>
            </w:r>
          </w:p>
        </w:tc>
        <w:tc>
          <w:tcPr>
            <w:tcW w:type="dxa" w:w="71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营养内容SEO、免费比赛计算器、赛事补给站页面、7天试用</w:t>
            </w:r>
          </w:p>
        </w:tc>
      </w:tr>
      <w:tr>
        <w:trPr>
          <w:cantSplit/>
        </w:trPr>
        <w:tc>
          <w:tcPr>
            <w:tcW w:type="dxa" w:w="22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主要短板</w:t>
            </w:r>
          </w:p>
        </w:tc>
        <w:tc>
          <w:tcPr>
            <w:tcW w:type="dxa" w:w="71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早期产品稳定性、估算伪精确、数据质量、仅iPhone为主、缺少专业端</w:t>
            </w:r>
          </w:p>
        </w:tc>
      </w:tr>
      <w:tr>
        <w:trPr>
          <w:cantSplit/>
        </w:trPr>
        <w:tc>
          <w:tcPr>
            <w:tcW w:type="dxa" w:w="22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中国机会</w:t>
            </w:r>
          </w:p>
        </w:tc>
        <w:tc>
          <w:tcPr>
            <w:tcW w:type="dxa" w:w="71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中国食物、外卖、国产设备、本地赛事、补给品与教练服务</w:t>
            </w:r>
          </w:p>
        </w:tc>
      </w:tr>
    </w:tbl>
    <w:p>
      <w:pPr>
        <w:widowControl/>
        <w:spacing w:before="0" w:after="40" w:line="264" w:lineRule="auto"/>
      </w:pPr>
    </w:p>
    <w:p>
      <w:pPr>
        <w:pStyle w:val="Heading1"/>
        <w:pageBreakBefore/>
      </w:pPr>
      <w:r>
        <w:t>1. 产品定位与基本画像</w:t>
      </w:r>
    </w:p>
    <w:p>
      <w:pPr>
        <w:widowControl/>
        <w:spacing w:before="0" w:after="120" w:line="264" w:lineRule="auto"/>
      </w:pPr>
      <w:r>
        <w:rPr>
          <w:rFonts w:ascii="Arial Unicode MS" w:hAnsi="Arial Unicode MS" w:eastAsia="Arial Unicode MS"/>
          <w:color w:val="1D2733"/>
        </w:rPr>
        <w:t>MAVR的官方定位是面向跑步、骑行、游泳、铁三、越野、超马和HYROX等人群的耐力运动营养应用。它通过未来训练需求而不是单一减重目标来决定用户今天应该怎么吃。</w:t>
      </w:r>
    </w:p>
    <w:tbl>
      <w:tblPr>
        <w:tblW w:type="dxa" w:w="9360"/>
        <w:tblLayout w:type="fixed"/>
        <w:tblLook w:firstColumn="1" w:firstRow="1" w:lastColumn="0" w:lastRow="0" w:noHBand="0" w:noVBand="1" w:val="04A0"/>
        <w:jc w:val="left"/>
        <w:tblInd w:w="120" w:type="dxa"/>
      </w:tblPr>
      <w:tblGrid>
        <w:gridCol w:w="2200"/>
        <w:gridCol w:w="7160"/>
      </w:tblGrid>
      <w:tr>
        <w:trPr>
          <w:cantSplit/>
          <w:tblHeader w:val="true"/>
          <w:cantSplit/>
        </w:trPr>
        <w:tc>
          <w:tcPr>
            <w:tcW w:type="dxa" w:w="2200"/>
            <w:tcMar>
              <w:top w:w="80" w:type="dxa"/>
              <w:start w:w="120" w:type="dxa"/>
              <w:bottom w:w="80" w:type="dxa"/>
              <w:end w:w="120" w:type="dxa"/>
            </w:tcMar>
            <w:vAlign w:val="center"/>
            <w:shd w:fill="E8EEF5" w:val="clear"/>
          </w:tcPr>
          <w:p>
            <w:pPr>
              <w:widowControl/>
              <w:spacing w:before="0" w:after="0" w:line="240" w:lineRule="auto"/>
              <w:jc w:val="center"/>
            </w:pPr>
            <w:r>
              <w:rPr>
                <w:rFonts w:ascii="Arial Unicode MS" w:hAnsi="Arial Unicode MS" w:eastAsia="Arial Unicode MS"/>
                <w:b/>
                <w:color w:val="1F4D78"/>
                <w:sz w:val="19"/>
              </w:rPr>
              <w:t>维度</w:t>
            </w:r>
          </w:p>
        </w:tc>
        <w:tc>
          <w:tcPr>
            <w:tcW w:type="dxa" w:w="7160"/>
            <w:tcMar>
              <w:top w:w="80" w:type="dxa"/>
              <w:start w:w="120" w:type="dxa"/>
              <w:bottom w:w="80" w:type="dxa"/>
              <w:end w:w="120" w:type="dxa"/>
            </w:tcMar>
            <w:vAlign w:val="center"/>
            <w:shd w:fill="E8EEF5" w:val="clear"/>
          </w:tcPr>
          <w:p>
            <w:pPr>
              <w:widowControl/>
              <w:spacing w:before="0" w:after="0" w:line="240" w:lineRule="auto"/>
              <w:jc w:val="center"/>
            </w:pPr>
            <w:r>
              <w:rPr>
                <w:rFonts w:ascii="Arial Unicode MS" w:hAnsi="Arial Unicode MS" w:eastAsia="Arial Unicode MS"/>
                <w:b/>
                <w:color w:val="1F4D78"/>
                <w:sz w:val="19"/>
              </w:rPr>
              <w:t>MAVR现状</w:t>
            </w:r>
          </w:p>
        </w:tc>
      </w:tr>
      <w:tr>
        <w:trPr>
          <w:cantSplit/>
        </w:trPr>
        <w:tc>
          <w:tcPr>
            <w:tcW w:type="dxa" w:w="22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产品定位</w:t>
            </w:r>
          </w:p>
        </w:tc>
        <w:tc>
          <w:tcPr>
            <w:tcW w:type="dxa" w:w="71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跑步与耐力运动营养应用</w:t>
            </w:r>
          </w:p>
        </w:tc>
      </w:tr>
      <w:tr>
        <w:trPr>
          <w:cantSplit/>
        </w:trPr>
        <w:tc>
          <w:tcPr>
            <w:tcW w:type="dxa" w:w="22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核心用户</w:t>
            </w:r>
          </w:p>
        </w:tc>
        <w:tc>
          <w:tcPr>
            <w:tcW w:type="dxa" w:w="71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正在执行结构化训练计划、备战半马/全马/超马/铁三等比赛的业余运动员</w:t>
            </w:r>
          </w:p>
        </w:tc>
      </w:tr>
      <w:tr>
        <w:trPr>
          <w:cantSplit/>
        </w:trPr>
        <w:tc>
          <w:tcPr>
            <w:tcW w:type="dxa" w:w="22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核心价值</w:t>
            </w:r>
          </w:p>
        </w:tc>
        <w:tc>
          <w:tcPr>
            <w:tcW w:type="dxa" w:w="71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根据训练负荷动态调整每日营养和训练前中后补给</w:t>
            </w:r>
          </w:p>
        </w:tc>
      </w:tr>
      <w:tr>
        <w:trPr>
          <w:cantSplit/>
        </w:trPr>
        <w:tc>
          <w:tcPr>
            <w:tcW w:type="dxa" w:w="22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核心场景</w:t>
            </w:r>
          </w:p>
        </w:tc>
        <w:tc>
          <w:tcPr>
            <w:tcW w:type="dxa" w:w="71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普通训练日、长距离训练、比赛周、比赛日、训练恢复</w:t>
            </w:r>
          </w:p>
        </w:tc>
      </w:tr>
      <w:tr>
        <w:trPr>
          <w:cantSplit/>
        </w:trPr>
        <w:tc>
          <w:tcPr>
            <w:tcW w:type="dxa" w:w="22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主要平台</w:t>
            </w:r>
          </w:p>
        </w:tc>
        <w:tc>
          <w:tcPr>
            <w:tcW w:type="dxa" w:w="71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iPhone；通过Apple Health及第三方训练平台接入数据</w:t>
            </w:r>
          </w:p>
        </w:tc>
      </w:tr>
      <w:tr>
        <w:trPr>
          <w:cantSplit/>
        </w:trPr>
        <w:tc>
          <w:tcPr>
            <w:tcW w:type="dxa" w:w="22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主要连接</w:t>
            </w:r>
          </w:p>
        </w:tc>
        <w:tc>
          <w:tcPr>
            <w:tcW w:type="dxa" w:w="71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Runna、Strava、TrainingPeaks、Intervals.icu、Apple Health</w:t>
            </w:r>
          </w:p>
        </w:tc>
      </w:tr>
      <w:tr>
        <w:trPr>
          <w:cantSplit/>
        </w:trPr>
        <w:tc>
          <w:tcPr>
            <w:tcW w:type="dxa" w:w="22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商业模式</w:t>
            </w:r>
          </w:p>
        </w:tc>
        <w:tc>
          <w:tcPr>
            <w:tcW w:type="dxa" w:w="71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7天试用＋月度/年度订阅</w:t>
            </w:r>
          </w:p>
        </w:tc>
      </w:tr>
      <w:tr>
        <w:trPr>
          <w:cantSplit/>
        </w:trPr>
        <w:tc>
          <w:tcPr>
            <w:tcW w:type="dxa" w:w="22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美国区价格</w:t>
            </w:r>
          </w:p>
        </w:tc>
        <w:tc>
          <w:tcPr>
            <w:tcW w:type="dxa" w:w="71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约8.99美元/月、69.99美元/年；商店另显示年度首次优惠</w:t>
            </w:r>
          </w:p>
        </w:tc>
      </w:tr>
      <w:tr>
        <w:trPr>
          <w:cantSplit/>
        </w:trPr>
        <w:tc>
          <w:tcPr>
            <w:tcW w:type="dxa" w:w="22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直接竞品</w:t>
            </w:r>
          </w:p>
        </w:tc>
        <w:tc>
          <w:tcPr>
            <w:tcW w:type="dxa" w:w="71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Fuelin、Hexis、Saturday、EatMyRide</w:t>
            </w:r>
          </w:p>
        </w:tc>
      </w:tr>
      <w:tr>
        <w:trPr>
          <w:cantSplit/>
        </w:trPr>
        <w:tc>
          <w:tcPr>
            <w:tcW w:type="dxa" w:w="22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阶段判断</w:t>
            </w:r>
          </w:p>
        </w:tc>
        <w:tc>
          <w:tcPr>
            <w:tcW w:type="dxa" w:w="71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功能较完整，但独立开发、快速迭代和早期商业化特征明显</w:t>
            </w:r>
          </w:p>
        </w:tc>
      </w:tr>
    </w:tbl>
    <w:p>
      <w:pPr>
        <w:widowControl/>
        <w:spacing w:before="0" w:after="40" w:line="264" w:lineRule="auto"/>
      </w:pPr>
    </w:p>
    <w:p>
      <w:pPr>
        <w:widowControl/>
        <w:spacing w:before="80" w:after="160" w:line="240" w:lineRule="auto"/>
      </w:pPr>
      <w:r>
        <w:rPr>
          <w:rFonts w:ascii="Arial Unicode MS" w:hAnsi="Arial Unicode MS" w:eastAsia="Arial Unicode MS"/>
          <w:b/>
          <w:color w:val="617080"/>
          <w:sz w:val="18"/>
        </w:rPr>
        <w:t>资料来源：</w:t>
      </w:r>
      <w:hyperlink r:id="rId11">
        <w:r>
          <w:rPr>
            <w:color w:val="2E74B5"/>
            <w:u w:val="single"/>
            <w:rFonts w:ascii="Arial Unicode MS" w:hAnsi="Arial Unicode MS" w:eastAsia="Arial Unicode MS"/>
          </w:rPr>
          <w:t>MAVR官网</w:t>
        </w:r>
      </w:hyperlink>
      <w:r>
        <w:rPr>
          <w:rFonts w:ascii="Arial Unicode MS" w:hAnsi="Arial Unicode MS" w:eastAsia="Arial Unicode MS"/>
          <w:color w:val="617080"/>
          <w:sz w:val="18"/>
        </w:rPr>
        <w:t>；</w:t>
      </w:r>
      <w:hyperlink r:id="rId12">
        <w:r>
          <w:rPr>
            <w:color w:val="2E74B5"/>
            <w:u w:val="single"/>
            <w:rFonts w:ascii="Arial Unicode MS" w:hAnsi="Arial Unicode MS" w:eastAsia="Arial Unicode MS"/>
          </w:rPr>
          <w:t>美国区App Store</w:t>
        </w:r>
      </w:hyperlink>
    </w:p>
    <w:p>
      <w:pPr>
        <w:pStyle w:val="Heading1"/>
        <w:pageBreakBefore/>
      </w:pPr>
      <w:r>
        <w:t>2. 用户问题、目标人群与JTBD</w:t>
      </w:r>
    </w:p>
    <w:p>
      <w:pPr>
        <w:pStyle w:val="Heading2"/>
      </w:pPr>
      <w:r>
        <w:t>2.1 用户问题</w:t>
      </w:r>
    </w:p>
    <w:p>
      <w:pPr>
        <w:widowControl/>
        <w:spacing w:before="0" w:after="120" w:line="264" w:lineRule="auto"/>
      </w:pPr>
      <w:r>
        <w:rPr>
          <w:rFonts w:ascii="Arial Unicode MS" w:hAnsi="Arial Unicode MS" w:eastAsia="Arial Unicode MS"/>
          <w:color w:val="1D2733"/>
        </w:rPr>
        <w:t>跑步App通常回答“今天跑什么”，饮食App通常回答“今天吃了多少”。MAVR填补的是两者之间的决策空白：下一场训练需要什么营养，以及如何在真实生活与比赛中执行。</w:t>
      </w:r>
    </w:p>
    <w:p>
      <w:pPr>
        <w:widowControl/>
        <w:numPr>
          <w:ilvl w:val="0"/>
          <w:numId w:val="10"/>
        </w:numPr>
        <w:spacing w:before="0" w:after="80" w:line="280" w:lineRule="auto"/>
      </w:pPr>
      <w:r>
        <w:rPr>
          <w:rFonts w:ascii="Arial Unicode MS" w:hAnsi="Arial Unicode MS" w:eastAsia="Arial Unicode MS"/>
        </w:rPr>
        <w:t>明天需要完成30公里长跑，今晚和明早应该吃多少碳水？</w:t>
      </w:r>
    </w:p>
    <w:p>
      <w:pPr>
        <w:widowControl/>
        <w:numPr>
          <w:ilvl w:val="0"/>
          <w:numId w:val="10"/>
        </w:numPr>
        <w:spacing w:before="0" w:after="80" w:line="280" w:lineRule="auto"/>
      </w:pPr>
      <w:r>
        <w:rPr>
          <w:rFonts w:ascii="Arial Unicode MS" w:hAnsi="Arial Unicode MS" w:eastAsia="Arial Unicode MS"/>
        </w:rPr>
        <w:t>间歇训练前多久进食，训练后怎样安排恢复餐？</w:t>
      </w:r>
    </w:p>
    <w:p>
      <w:pPr>
        <w:widowControl/>
        <w:numPr>
          <w:ilvl w:val="0"/>
          <w:numId w:val="10"/>
        </w:numPr>
        <w:spacing w:before="0" w:after="80" w:line="280" w:lineRule="auto"/>
      </w:pPr>
      <w:r>
        <w:rPr>
          <w:rFonts w:ascii="Arial Unicode MS" w:hAnsi="Arial Unicode MS" w:eastAsia="Arial Unicode MS"/>
        </w:rPr>
        <w:t>长跑每小时应摄入多少碳水、液体和钠？</w:t>
      </w:r>
    </w:p>
    <w:p>
      <w:pPr>
        <w:widowControl/>
        <w:numPr>
          <w:ilvl w:val="0"/>
          <w:numId w:val="10"/>
        </w:numPr>
        <w:spacing w:before="0" w:after="80" w:line="280" w:lineRule="auto"/>
      </w:pPr>
      <w:r>
        <w:rPr>
          <w:rFonts w:ascii="Arial Unicode MS" w:hAnsi="Arial Unicode MS" w:eastAsia="Arial Unicode MS"/>
        </w:rPr>
        <w:t>需要带几支能量胶，何时吃，是否需要搭配水？</w:t>
      </w:r>
    </w:p>
    <w:p>
      <w:pPr>
        <w:widowControl/>
        <w:numPr>
          <w:ilvl w:val="0"/>
          <w:numId w:val="10"/>
        </w:numPr>
        <w:spacing w:before="0" w:after="80" w:line="280" w:lineRule="auto"/>
      </w:pPr>
      <w:r>
        <w:rPr>
          <w:rFonts w:ascii="Arial Unicode MS" w:hAnsi="Arial Unicode MS" w:eastAsia="Arial Unicode MS"/>
        </w:rPr>
        <w:t>比赛天气、目标配速或补给站变化后，原计划是否仍适用？</w:t>
      </w:r>
    </w:p>
    <w:p>
      <w:pPr>
        <w:pStyle w:val="Heading2"/>
      </w:pPr>
      <w:r>
        <w:t>2.2 用户任务（Jobs to Be Done）</w:t>
      </w:r>
    </w:p>
    <w:tbl>
      <w:tblPr>
        <w:tblW w:type="dxa" w:w="9360"/>
        <w:tblLayout w:type="fixed"/>
        <w:tblLook w:firstColumn="1" w:firstRow="1" w:lastColumn="0" w:lastRow="0" w:noHBand="0" w:noVBand="1" w:val="04A0"/>
        <w:jc w:val="left"/>
        <w:tblInd w:w="120" w:type="dxa"/>
      </w:tblPr>
      <w:tblGrid>
        <w:gridCol w:w="3000"/>
        <w:gridCol w:w="6360"/>
      </w:tblGrid>
      <w:tr>
        <w:trPr>
          <w:cantSplit/>
          <w:tblHeader w:val="true"/>
          <w:cantSplit/>
        </w:trPr>
        <w:tc>
          <w:tcPr>
            <w:tcW w:type="dxa" w:w="3000"/>
            <w:tcMar>
              <w:top w:w="80" w:type="dxa"/>
              <w:start w:w="120" w:type="dxa"/>
              <w:bottom w:w="80" w:type="dxa"/>
              <w:end w:w="120" w:type="dxa"/>
            </w:tcMar>
            <w:vAlign w:val="center"/>
            <w:shd w:fill="E8EEF5" w:val="clear"/>
          </w:tcPr>
          <w:p>
            <w:pPr>
              <w:widowControl/>
              <w:spacing w:before="0" w:after="0" w:line="240" w:lineRule="auto"/>
              <w:jc w:val="center"/>
            </w:pPr>
            <w:r>
              <w:rPr>
                <w:rFonts w:ascii="Arial Unicode MS" w:hAnsi="Arial Unicode MS" w:eastAsia="Arial Unicode MS"/>
                <w:b/>
                <w:color w:val="1F4D78"/>
                <w:sz w:val="19"/>
              </w:rPr>
              <w:t>用户任务</w:t>
            </w:r>
          </w:p>
        </w:tc>
        <w:tc>
          <w:tcPr>
            <w:tcW w:type="dxa" w:w="6360"/>
            <w:tcMar>
              <w:top w:w="80" w:type="dxa"/>
              <w:start w:w="120" w:type="dxa"/>
              <w:bottom w:w="80" w:type="dxa"/>
              <w:end w:w="120" w:type="dxa"/>
            </w:tcMar>
            <w:vAlign w:val="center"/>
            <w:shd w:fill="E8EEF5" w:val="clear"/>
          </w:tcPr>
          <w:p>
            <w:pPr>
              <w:widowControl/>
              <w:spacing w:before="0" w:after="0" w:line="240" w:lineRule="auto"/>
              <w:jc w:val="center"/>
            </w:pPr>
            <w:r>
              <w:rPr>
                <w:rFonts w:ascii="Arial Unicode MS" w:hAnsi="Arial Unicode MS" w:eastAsia="Arial Unicode MS"/>
                <w:b/>
                <w:color w:val="1F4D78"/>
                <w:sz w:val="19"/>
              </w:rPr>
              <w:t>用户真实诉求</w:t>
            </w:r>
          </w:p>
        </w:tc>
      </w:tr>
      <w:tr>
        <w:trPr>
          <w:cantSplit/>
        </w:trPr>
        <w:tc>
          <w:tcPr>
            <w:tcW w:type="dxa" w:w="30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避免撞墙</w:t>
            </w:r>
          </w:p>
        </w:tc>
        <w:tc>
          <w:tcPr>
            <w:tcW w:type="dxa" w:w="63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知道长跑和比赛应该吃多少、什么时候吃</w:t>
            </w:r>
          </w:p>
        </w:tc>
      </w:tr>
      <w:tr>
        <w:trPr>
          <w:cantSplit/>
        </w:trPr>
        <w:tc>
          <w:tcPr>
            <w:tcW w:type="dxa" w:w="30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提高训练质量</w:t>
            </w:r>
          </w:p>
        </w:tc>
        <w:tc>
          <w:tcPr>
            <w:tcW w:type="dxa" w:w="63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在重点训练前维持足够糖原和可用能量</w:t>
            </w:r>
          </w:p>
        </w:tc>
      </w:tr>
      <w:tr>
        <w:trPr>
          <w:cantSplit/>
        </w:trPr>
        <w:tc>
          <w:tcPr>
            <w:tcW w:type="dxa" w:w="30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加快恢复</w:t>
            </w:r>
          </w:p>
        </w:tc>
        <w:tc>
          <w:tcPr>
            <w:tcW w:type="dxa" w:w="63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及时完成碳水、蛋白质、水分及电解质补充</w:t>
            </w:r>
          </w:p>
        </w:tc>
      </w:tr>
      <w:tr>
        <w:trPr>
          <w:cantSplit/>
        </w:trPr>
        <w:tc>
          <w:tcPr>
            <w:tcW w:type="dxa" w:w="30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降低决策负担</w:t>
            </w:r>
          </w:p>
        </w:tc>
        <w:tc>
          <w:tcPr>
            <w:tcW w:type="dxa" w:w="63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不再自己查资料、做表格和计算补给品数量</w:t>
            </w:r>
          </w:p>
        </w:tc>
      </w:tr>
      <w:tr>
        <w:trPr>
          <w:cantSplit/>
        </w:trPr>
        <w:tc>
          <w:tcPr>
            <w:tcW w:type="dxa" w:w="30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验证比赛策略</w:t>
            </w:r>
          </w:p>
        </w:tc>
        <w:tc>
          <w:tcPr>
            <w:tcW w:type="dxa" w:w="63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在训练中逐步测试产品、剂量、时间与肠胃耐受</w:t>
            </w:r>
          </w:p>
        </w:tc>
      </w:tr>
    </w:tbl>
    <w:p>
      <w:pPr>
        <w:widowControl/>
        <w:spacing w:before="0" w:after="40" w:line="264" w:lineRule="auto"/>
      </w:pPr>
    </w:p>
    <w:tbl>
      <w:tblPr>
        <w:tblW w:type="dxa" w:w="9360"/>
        <w:jc w:val="left"/>
        <w:tblLayout w:type="fixed"/>
        <w:tblLook w:firstColumn="1" w:firstRow="1" w:lastColumn="0" w:lastRow="0" w:noHBand="0" w:noVBand="1" w:val="04A0"/>
        <w:tblInd w:w="120" w:type="dxa"/>
      </w:tblPr>
      <w:tblGrid>
        <w:gridCol w:w="9360"/>
      </w:tblGrid>
      <w:tr>
        <w:trPr>
          <w:cantSplit/>
          <w:tblHeader w:val="true"/>
        </w:trPr>
        <w:tc>
          <w:tcPr>
            <w:tcW w:type="dxa" w:w="9360"/>
            <w:tcMar>
              <w:top w:w="160" w:type="dxa"/>
              <w:start w:w="200" w:type="dxa"/>
              <w:bottom w:w="160" w:type="dxa"/>
              <w:end w:w="200" w:type="dxa"/>
            </w:tcMar>
            <w:vAlign w:val="center"/>
            <w:shd w:fill="E7F3EF" w:val="clear"/>
          </w:tcPr>
          <w:p>
            <w:pPr>
              <w:widowControl/>
              <w:spacing w:before="0" w:after="80" w:line="264" w:lineRule="auto"/>
            </w:pPr>
            <w:r>
              <w:rPr>
                <w:rFonts w:ascii="Arial Unicode MS" w:hAnsi="Arial Unicode MS" w:eastAsia="Arial Unicode MS"/>
                <w:b/>
                <w:color w:val="2A8C74"/>
                <w:sz w:val="22"/>
              </w:rPr>
              <w:t>价值主张</w:t>
            </w:r>
          </w:p>
          <w:p>
            <w:pPr>
              <w:widowControl/>
              <w:spacing w:before="0" w:after="0" w:line="276" w:lineRule="auto"/>
            </w:pPr>
            <w:r>
              <w:rPr>
                <w:rFonts w:ascii="Arial Unicode MS" w:hAnsi="Arial Unicode MS" w:eastAsia="Arial Unicode MS"/>
                <w:color w:val="1D2733"/>
                <w:sz w:val="21"/>
              </w:rPr>
              <w:t>“我已根据你的下一场训练和目标比赛，告诉你什么时候吃、吃多少、带什么，以及为什么。”</w:t>
            </w:r>
          </w:p>
        </w:tc>
      </w:tr>
    </w:tbl>
    <w:p>
      <w:pPr>
        <w:widowControl/>
        <w:spacing w:before="0" w:after="40" w:line="264" w:lineRule="auto"/>
      </w:pPr>
    </w:p>
    <w:p>
      <w:pPr>
        <w:pStyle w:val="Heading1"/>
        <w:pageBreakBefore/>
      </w:pPr>
      <w:r>
        <w:t>3. 产品架构与核心闭环</w:t>
      </w:r>
    </w:p>
    <w:p>
      <w:pPr>
        <w:widowControl/>
        <w:spacing w:before="0" w:after="120" w:line="264" w:lineRule="auto"/>
      </w:pPr>
      <w:r>
        <w:rPr>
          <w:rFonts w:ascii="Arial Unicode MS" w:hAnsi="Arial Unicode MS" w:eastAsia="Arial Unicode MS"/>
          <w:color w:val="1D2733"/>
        </w:rPr>
        <w:t>MAVR可以拆成四层：数据接入、营养计算、执行工具和反馈。其核心并非孤立功能，而是这些对象之间的关系。</w:t>
      </w:r>
    </w:p>
    <w:p>
      <w:pPr>
        <w:widowControl/>
        <w:spacing w:before="0" w:after="80" w:line="264" w:lineRule="auto"/>
        <w:jc w:val="center"/>
      </w:pPr>
      <w:r>
        <w:drawing>
          <wp:inline xmlns:a="http://schemas.openxmlformats.org/drawingml/2006/main" xmlns:pic="http://schemas.openxmlformats.org/drawingml/2006/picture">
            <wp:extent cx="5715000" cy="2895600"/>
            <wp:docPr id="1" name="Picture 1" title="MAVR产品决策闭环" descr="从数据输入、营养引擎、计划输出到执行反馈的四层产品决策闭环图"/>
            <wp:cNvGraphicFramePr>
              <a:graphicFrameLocks noChangeAspect="1"/>
            </wp:cNvGraphicFramePr>
            <a:graphic>
              <a:graphicData uri="http://schemas.openxmlformats.org/drawingml/2006/picture">
                <pic:pic>
                  <pic:nvPicPr>
                    <pic:cNvPr id="0" name="mavr_product_loop.png"/>
                    <pic:cNvPicPr/>
                  </pic:nvPicPr>
                  <pic:blipFill>
                    <a:blip r:embed="rId13"/>
                    <a:stretch>
                      <a:fillRect/>
                    </a:stretch>
                  </pic:blipFill>
                  <pic:spPr>
                    <a:xfrm>
                      <a:off x="0" y="0"/>
                      <a:ext cx="5715000" cy="2895600"/>
                    </a:xfrm>
                    <a:prstGeom prst="rect"/>
                  </pic:spPr>
                </pic:pic>
              </a:graphicData>
            </a:graphic>
          </wp:inline>
        </w:drawing>
      </w:r>
    </w:p>
    <w:p>
      <w:pPr>
        <w:widowControl/>
        <w:spacing w:before="0" w:after="160" w:line="240" w:lineRule="auto"/>
        <w:jc w:val="center"/>
      </w:pPr>
      <w:r>
        <w:rPr>
          <w:rFonts w:ascii="Arial Unicode MS" w:hAnsi="Arial Unicode MS" w:eastAsia="Arial Unicode MS"/>
          <w:i/>
          <w:color w:val="617080"/>
          <w:sz w:val="18"/>
        </w:rPr>
        <w:t>图1  MAVR产品决策闭环（基于公开功能重构）</w:t>
      </w:r>
    </w:p>
    <w:p>
      <w:pPr>
        <w:widowControl/>
        <w:numPr>
          <w:ilvl w:val="0"/>
          <w:numId w:val="11"/>
        </w:numPr>
        <w:spacing w:before="0" w:after="80" w:line="280" w:lineRule="auto"/>
      </w:pPr>
      <w:r>
        <w:rPr>
          <w:rFonts w:ascii="Arial Unicode MS" w:hAnsi="Arial Unicode MS" w:eastAsia="Arial Unicode MS"/>
        </w:rPr>
        <w:t>数据接入层：训练项目、时长、强度、身体数据、天气、汗率、赛事和饮食记录。</w:t>
      </w:r>
    </w:p>
    <w:p>
      <w:pPr>
        <w:widowControl/>
        <w:numPr>
          <w:ilvl w:val="0"/>
          <w:numId w:val="11"/>
        </w:numPr>
        <w:spacing w:before="0" w:after="80" w:line="280" w:lineRule="auto"/>
      </w:pPr>
      <w:r>
        <w:rPr>
          <w:rFonts w:ascii="Arial Unicode MS" w:hAnsi="Arial Unicode MS" w:eastAsia="Arial Unicode MS"/>
        </w:rPr>
        <w:t>营养计算层：热量、宏量营养、糖原、训练中碳水、水分和钠。</w:t>
      </w:r>
    </w:p>
    <w:p>
      <w:pPr>
        <w:widowControl/>
        <w:numPr>
          <w:ilvl w:val="0"/>
          <w:numId w:val="11"/>
        </w:numPr>
        <w:spacing w:before="0" w:after="80" w:line="280" w:lineRule="auto"/>
      </w:pPr>
      <w:r>
        <w:rPr>
          <w:rFonts w:ascii="Arial Unicode MS" w:hAnsi="Arial Unicode MS" w:eastAsia="Arial Unicode MS"/>
        </w:rPr>
        <w:t>执行工具层：餐时计划、Fuel Kit、比赛计划、提醒和Kai。</w:t>
      </w:r>
    </w:p>
    <w:p>
      <w:pPr>
        <w:widowControl/>
        <w:numPr>
          <w:ilvl w:val="0"/>
          <w:numId w:val="11"/>
        </w:numPr>
        <w:spacing w:before="0" w:after="80" w:line="280" w:lineRule="auto"/>
      </w:pPr>
      <w:r>
        <w:rPr>
          <w:rFonts w:ascii="Arial Unicode MS" w:hAnsi="Arial Unicode MS" w:eastAsia="Arial Unicode MS"/>
        </w:rPr>
        <w:t>反馈层：饮食记录、MAVR Score、Live Energy、肠胃耐受和训练完成情况。</w:t>
      </w:r>
    </w:p>
    <w:p>
      <w:pPr>
        <w:pStyle w:val="Heading1"/>
        <w:pageBreakBefore/>
      </w:pPr>
      <w:r>
        <w:t>4. 功能模块详细分析</w:t>
      </w:r>
    </w:p>
    <w:p>
      <w:pPr>
        <w:widowControl/>
        <w:spacing w:before="0" w:after="120" w:line="264" w:lineRule="auto"/>
      </w:pPr>
      <w:r>
        <w:rPr>
          <w:rFonts w:ascii="Arial Unicode MS" w:hAnsi="Arial Unicode MS" w:eastAsia="Arial Unicode MS"/>
          <w:color w:val="1D2733"/>
        </w:rPr>
        <w:t>本章按照用户旅程而非官网营销顺序拆解功能。每个模块区分公开事实、用户价值和产品经理判断。</w:t>
      </w:r>
    </w:p>
    <w:p>
      <w:pPr>
        <w:pStyle w:val="Heading2"/>
      </w:pPr>
      <w:r>
        <w:t>4.1 用户画像与初始评估</w:t>
      </w:r>
    </w:p>
    <w:p>
      <w:pPr>
        <w:widowControl/>
        <w:spacing w:before="0" w:after="120" w:line="264" w:lineRule="auto"/>
      </w:pPr>
      <w:r>
        <w:rPr>
          <w:rFonts w:ascii="Arial Unicode MS" w:hAnsi="Arial Unicode MS" w:eastAsia="Arial Unicode MS"/>
          <w:b/>
          <w:color w:val="1D2733"/>
        </w:rPr>
        <w:t>已核实功能：</w:t>
      </w:r>
      <w:r>
        <w:rPr>
          <w:rFonts w:ascii="Arial Unicode MS" w:hAnsi="Arial Unicode MS" w:eastAsia="Arial Unicode MS"/>
          <w:color w:val="1D2733"/>
        </w:rPr>
        <w:t>MAVR使用年龄、性别、体重、主项运动、训练量、目标赛事、目标配速、身体组成目标、饮食偏好以及汗率等资料建立计算基线。</w:t>
      </w:r>
    </w:p>
    <w:p>
      <w:pPr>
        <w:widowControl/>
        <w:spacing w:before="0" w:after="120" w:line="264" w:lineRule="auto"/>
      </w:pPr>
      <w:r>
        <w:rPr>
          <w:rFonts w:ascii="Arial Unicode MS" w:hAnsi="Arial Unicode MS" w:eastAsia="Arial Unicode MS"/>
          <w:b/>
          <w:color w:val="1D2733"/>
        </w:rPr>
        <w:t>用户价值：</w:t>
      </w:r>
      <w:r>
        <w:rPr>
          <w:rFonts w:ascii="Arial Unicode MS" w:hAnsi="Arial Unicode MS" w:eastAsia="Arial Unicode MS"/>
          <w:color w:val="1D2733"/>
        </w:rPr>
        <w:t>帮助系统迅速生成“属于这个用户”的首份方案，而不是通用模板。</w:t>
      </w:r>
    </w:p>
    <w:p>
      <w:pPr>
        <w:widowControl/>
        <w:spacing w:before="0" w:after="120" w:line="264" w:lineRule="auto"/>
      </w:pPr>
      <w:r>
        <w:rPr>
          <w:rFonts w:ascii="Arial Unicode MS" w:hAnsi="Arial Unicode MS" w:eastAsia="Arial Unicode MS"/>
          <w:b/>
          <w:color w:val="1D2733"/>
        </w:rPr>
        <w:t>产品判断：</w:t>
      </w:r>
      <w:r>
        <w:rPr>
          <w:rFonts w:ascii="Arial Unicode MS" w:hAnsi="Arial Unicode MS" w:eastAsia="Arial Unicode MS"/>
          <w:color w:val="1D2733"/>
        </w:rPr>
        <w:t>首轮输入较多，注册流失风险高。更合理的方式是先用体重、主项、目标赛事和训练日历生成结果，再逐步补采汗率、偏好和补给产品。</w:t>
      </w:r>
    </w:p>
    <w:p>
      <w:pPr>
        <w:pStyle w:val="Heading2"/>
      </w:pPr>
      <w:r>
        <w:t>4.2 训练日历与设备连接</w:t>
      </w:r>
    </w:p>
    <w:p>
      <w:pPr>
        <w:widowControl/>
        <w:spacing w:before="0" w:after="120" w:line="264" w:lineRule="auto"/>
      </w:pPr>
      <w:r>
        <w:rPr>
          <w:rFonts w:ascii="Arial Unicode MS" w:hAnsi="Arial Unicode MS" w:eastAsia="Arial Unicode MS"/>
          <w:b/>
          <w:color w:val="1D2733"/>
        </w:rPr>
        <w:t>已核实功能：</w:t>
      </w:r>
      <w:r>
        <w:rPr>
          <w:rFonts w:ascii="Arial Unicode MS" w:hAnsi="Arial Unicode MS" w:eastAsia="Arial Unicode MS"/>
          <w:color w:val="1D2733"/>
        </w:rPr>
        <w:t>产品连接Runna、Strava、TrainingPeaks、Intervals.icu和Apple Health；Garmin、COROS、WHOOP与Oura等通常经Apple Health流入。</w:t>
      </w:r>
    </w:p>
    <w:p>
      <w:pPr>
        <w:widowControl/>
        <w:spacing w:before="0" w:after="120" w:line="264" w:lineRule="auto"/>
      </w:pPr>
      <w:r>
        <w:rPr>
          <w:rFonts w:ascii="Arial Unicode MS" w:hAnsi="Arial Unicode MS" w:eastAsia="Arial Unicode MS"/>
          <w:b/>
          <w:color w:val="1D2733"/>
        </w:rPr>
        <w:t>用户价值：</w:t>
      </w:r>
      <w:r>
        <w:rPr>
          <w:rFonts w:ascii="Arial Unicode MS" w:hAnsi="Arial Unicode MS" w:eastAsia="Arial Unicode MS"/>
          <w:color w:val="1D2733"/>
        </w:rPr>
        <w:t>提前理解未来训练，而不是在训练结束后才计算消耗，从而支持训练前营养决策。</w:t>
      </w:r>
    </w:p>
    <w:p>
      <w:pPr>
        <w:widowControl/>
        <w:spacing w:before="0" w:after="120" w:line="264" w:lineRule="auto"/>
      </w:pPr>
      <w:r>
        <w:rPr>
          <w:rFonts w:ascii="Arial Unicode MS" w:hAnsi="Arial Unicode MS" w:eastAsia="Arial Unicode MS"/>
          <w:b/>
          <w:color w:val="1D2733"/>
        </w:rPr>
        <w:t>产品判断：</w:t>
      </w:r>
      <w:r>
        <w:rPr>
          <w:rFonts w:ascii="Arial Unicode MS" w:hAnsi="Arial Unicode MS" w:eastAsia="Arial Unicode MS"/>
          <w:color w:val="1D2733"/>
        </w:rPr>
        <w:t>这是核心入口，也是高风险依赖。重复活动、时区、全天训练、计划与实际训练差异、第三方接口变化都会直接破坏营养结果。版本记录中的多次同步和重复计算修复证明这不是简单接接口的问题。</w:t>
      </w:r>
    </w:p>
    <w:p>
      <w:pPr>
        <w:widowControl/>
        <w:spacing w:before="80" w:after="160" w:line="240" w:lineRule="auto"/>
      </w:pPr>
      <w:r>
        <w:rPr>
          <w:rFonts w:ascii="Arial Unicode MS" w:hAnsi="Arial Unicode MS" w:eastAsia="Arial Unicode MS"/>
          <w:b/>
          <w:color w:val="617080"/>
          <w:sz w:val="18"/>
        </w:rPr>
        <w:t>资料来源：</w:t>
      </w:r>
      <w:hyperlink r:id="rId14">
        <w:r>
          <w:rPr>
            <w:color w:val="2E74B5"/>
            <w:u w:val="single"/>
            <w:rFonts w:ascii="Arial Unicode MS" w:hAnsi="Arial Unicode MS" w:eastAsia="Arial Unicode MS"/>
          </w:rPr>
          <w:t>MAVR跑步产品页</w:t>
        </w:r>
      </w:hyperlink>
    </w:p>
    <w:p>
      <w:pPr>
        <w:pStyle w:val="Heading2"/>
      </w:pPr>
      <w:r>
        <w:t>4.3 动态每日营养目标</w:t>
      </w:r>
    </w:p>
    <w:p>
      <w:pPr>
        <w:widowControl/>
        <w:spacing w:before="0" w:after="120" w:line="264" w:lineRule="auto"/>
      </w:pPr>
      <w:r>
        <w:rPr>
          <w:rFonts w:ascii="Arial Unicode MS" w:hAnsi="Arial Unicode MS" w:eastAsia="Arial Unicode MS"/>
          <w:b/>
          <w:color w:val="1D2733"/>
        </w:rPr>
        <w:t>已核实功能：</w:t>
      </w:r>
      <w:r>
        <w:rPr>
          <w:rFonts w:ascii="Arial Unicode MS" w:hAnsi="Arial Unicode MS" w:eastAsia="Arial Unicode MS"/>
          <w:color w:val="1D2733"/>
        </w:rPr>
        <w:t>系统根据基础代谢、活动消耗、训练项目、时长、强度、身体组成目标及训练安排计算每日热量、碳水、蛋白质、脂肪和水分；重点训练日提高目标，休息日相应降低。</w:t>
      </w:r>
    </w:p>
    <w:p>
      <w:pPr>
        <w:widowControl/>
        <w:spacing w:before="0" w:after="120" w:line="264" w:lineRule="auto"/>
      </w:pPr>
      <w:r>
        <w:rPr>
          <w:rFonts w:ascii="Arial Unicode MS" w:hAnsi="Arial Unicode MS" w:eastAsia="Arial Unicode MS"/>
          <w:b/>
          <w:color w:val="1D2733"/>
        </w:rPr>
        <w:t>用户价值：</w:t>
      </w:r>
      <w:r>
        <w:rPr>
          <w:rFonts w:ascii="Arial Unicode MS" w:hAnsi="Arial Unicode MS" w:eastAsia="Arial Unicode MS"/>
          <w:color w:val="1D2733"/>
        </w:rPr>
        <w:t>让营养目标与训练需求同步变化，摆脱固定热量和固定宏量比例。</w:t>
      </w:r>
    </w:p>
    <w:p>
      <w:pPr>
        <w:widowControl/>
        <w:spacing w:before="0" w:after="120" w:line="264" w:lineRule="auto"/>
      </w:pPr>
      <w:r>
        <w:rPr>
          <w:rFonts w:ascii="Arial Unicode MS" w:hAnsi="Arial Unicode MS" w:eastAsia="Arial Unicode MS"/>
          <w:b/>
          <w:color w:val="1D2733"/>
        </w:rPr>
        <w:t>产品判断：</w:t>
      </w:r>
      <w:r>
        <w:rPr>
          <w:rFonts w:ascii="Arial Unicode MS" w:hAnsi="Arial Unicode MS" w:eastAsia="Arial Unicode MS"/>
          <w:color w:val="1D2733"/>
        </w:rPr>
        <w:t>价值清晰但存在伪精确风险。建议采用区间、置信度、计算依据和主观反馈校正，而不是只展示一个看似精确的数字。</w:t>
      </w:r>
    </w:p>
    <w:p>
      <w:pPr>
        <w:widowControl/>
        <w:spacing w:before="80" w:after="160" w:line="240" w:lineRule="auto"/>
      </w:pPr>
      <w:r>
        <w:rPr>
          <w:rFonts w:ascii="Arial Unicode MS" w:hAnsi="Arial Unicode MS" w:eastAsia="Arial Unicode MS"/>
          <w:b/>
          <w:color w:val="617080"/>
          <w:sz w:val="18"/>
        </w:rPr>
        <w:t>资料来源：</w:t>
      </w:r>
      <w:hyperlink r:id="rId11">
        <w:r>
          <w:rPr>
            <w:color w:val="2E74B5"/>
            <w:u w:val="single"/>
            <w:rFonts w:ascii="Arial Unicode MS" w:hAnsi="Arial Unicode MS" w:eastAsia="Arial Unicode MS"/>
          </w:rPr>
          <w:t>MAVR官网</w:t>
        </w:r>
      </w:hyperlink>
    </w:p>
    <w:p>
      <w:pPr>
        <w:pStyle w:val="Heading2"/>
      </w:pPr>
      <w:r>
        <w:t>4.4 餐时计划与训练前中后营养</w:t>
      </w:r>
    </w:p>
    <w:p>
      <w:pPr>
        <w:widowControl/>
        <w:spacing w:before="0" w:after="120" w:line="264" w:lineRule="auto"/>
      </w:pPr>
      <w:r>
        <w:rPr>
          <w:rFonts w:ascii="Arial Unicode MS" w:hAnsi="Arial Unicode MS" w:eastAsia="Arial Unicode MS"/>
          <w:b/>
          <w:color w:val="1D2733"/>
        </w:rPr>
        <w:t>已核实功能：</w:t>
      </w:r>
      <w:r>
        <w:rPr>
          <w:rFonts w:ascii="Arial Unicode MS" w:hAnsi="Arial Unicode MS" w:eastAsia="Arial Unicode MS"/>
          <w:color w:val="1D2733"/>
        </w:rPr>
        <w:t>系统将全天营养分配到早餐、正餐、零食、训练前餐、训练中补给和训练后恢复餐，并依据训练开始与结束时间调整餐时。</w:t>
      </w:r>
    </w:p>
    <w:p>
      <w:pPr>
        <w:widowControl/>
        <w:spacing w:before="0" w:after="120" w:line="264" w:lineRule="auto"/>
      </w:pPr>
      <w:r>
        <w:rPr>
          <w:rFonts w:ascii="Arial Unicode MS" w:hAnsi="Arial Unicode MS" w:eastAsia="Arial Unicode MS"/>
          <w:b/>
          <w:color w:val="1D2733"/>
        </w:rPr>
        <w:t>用户价值：</w:t>
      </w:r>
      <w:r>
        <w:rPr>
          <w:rFonts w:ascii="Arial Unicode MS" w:hAnsi="Arial Unicode MS" w:eastAsia="Arial Unicode MS"/>
          <w:color w:val="1D2733"/>
        </w:rPr>
        <w:t>把“今天需要多少碳水”转换成“每一餐何时吃、吃多少”，降低执行门槛。</w:t>
      </w:r>
    </w:p>
    <w:p>
      <w:pPr>
        <w:widowControl/>
        <w:spacing w:before="0" w:after="120" w:line="264" w:lineRule="auto"/>
      </w:pPr>
      <w:r>
        <w:rPr>
          <w:rFonts w:ascii="Arial Unicode MS" w:hAnsi="Arial Unicode MS" w:eastAsia="Arial Unicode MS"/>
          <w:b/>
          <w:color w:val="1D2733"/>
        </w:rPr>
        <w:t>产品判断：</w:t>
      </w:r>
      <w:r>
        <w:rPr>
          <w:rFonts w:ascii="Arial Unicode MS" w:hAnsi="Arial Unicode MS" w:eastAsia="Arial Unicode MS"/>
          <w:color w:val="1D2733"/>
        </w:rPr>
        <w:t>真正决定留存的不是宏量目标，而是能否转成用户常吃、买得到、做得出且肠胃能接受的食物。中国市场需要重做中餐、外卖、便利店和家庭餐桌场景。</w:t>
      </w:r>
    </w:p>
    <w:p>
      <w:pPr>
        <w:widowControl/>
        <w:spacing w:before="80" w:after="160" w:line="240" w:lineRule="auto"/>
      </w:pPr>
      <w:r>
        <w:rPr>
          <w:rFonts w:ascii="Arial Unicode MS" w:hAnsi="Arial Unicode MS" w:eastAsia="Arial Unicode MS"/>
          <w:b/>
          <w:color w:val="617080"/>
          <w:sz w:val="18"/>
        </w:rPr>
        <w:t>资料来源：</w:t>
      </w:r>
      <w:hyperlink r:id="rId15">
        <w:r>
          <w:rPr>
            <w:color w:val="2E74B5"/>
            <w:u w:val="single"/>
            <w:rFonts w:ascii="Arial Unicode MS" w:hAnsi="Arial Unicode MS" w:eastAsia="Arial Unicode MS"/>
          </w:rPr>
          <w:t>训练补给与餐时说明</w:t>
        </w:r>
      </w:hyperlink>
    </w:p>
    <w:p>
      <w:pPr>
        <w:pStyle w:val="Heading2"/>
      </w:pPr>
      <w:r>
        <w:t>4.5 Live Energy／糖原状态</w:t>
      </w:r>
    </w:p>
    <w:p>
      <w:pPr>
        <w:widowControl/>
        <w:spacing w:before="0" w:after="120" w:line="264" w:lineRule="auto"/>
      </w:pPr>
      <w:r>
        <w:rPr>
          <w:rFonts w:ascii="Arial Unicode MS" w:hAnsi="Arial Unicode MS" w:eastAsia="Arial Unicode MS"/>
          <w:b/>
          <w:color w:val="1D2733"/>
        </w:rPr>
        <w:t>已核实功能：</w:t>
      </w:r>
      <w:r>
        <w:rPr>
          <w:rFonts w:ascii="Arial Unicode MS" w:hAnsi="Arial Unicode MS" w:eastAsia="Arial Unicode MS"/>
          <w:color w:val="1D2733"/>
        </w:rPr>
        <w:t>MAVR通过Live Energy展示全天估算的糖原状态，呈现进食和训练导致的能量储备变化。</w:t>
      </w:r>
    </w:p>
    <w:p>
      <w:pPr>
        <w:widowControl/>
        <w:spacing w:before="0" w:after="120" w:line="264" w:lineRule="auto"/>
      </w:pPr>
      <w:r>
        <w:rPr>
          <w:rFonts w:ascii="Arial Unicode MS" w:hAnsi="Arial Unicode MS" w:eastAsia="Arial Unicode MS"/>
          <w:b/>
          <w:color w:val="1D2733"/>
        </w:rPr>
        <w:t>用户价值：</w:t>
      </w:r>
      <w:r>
        <w:rPr>
          <w:rFonts w:ascii="Arial Unicode MS" w:hAnsi="Arial Unicode MS" w:eastAsia="Arial Unicode MS"/>
          <w:color w:val="1D2733"/>
        </w:rPr>
        <w:t>把抽象的糖原可用性转化为类似“油箱”或“电量”的直观反馈。</w:t>
      </w:r>
    </w:p>
    <w:p>
      <w:pPr>
        <w:widowControl/>
        <w:spacing w:before="0" w:after="120" w:line="264" w:lineRule="auto"/>
      </w:pPr>
      <w:r>
        <w:rPr>
          <w:rFonts w:ascii="Arial Unicode MS" w:hAnsi="Arial Unicode MS" w:eastAsia="Arial Unicode MS"/>
          <w:b/>
          <w:color w:val="1D2733"/>
        </w:rPr>
        <w:t>产品判断：</w:t>
      </w:r>
      <w:r>
        <w:rPr>
          <w:rFonts w:ascii="Arial Unicode MS" w:hAnsi="Arial Unicode MS" w:eastAsia="Arial Unicode MS"/>
          <w:color w:val="1D2733"/>
        </w:rPr>
        <w:t>这是优秀认知设计，也是高风险表达。普通穿戴设备不能直接测量肌糖原，必须明确为模型估算，并展示可能范围与影响因素。</w:t>
      </w:r>
    </w:p>
    <w:p>
      <w:pPr>
        <w:widowControl/>
        <w:spacing w:before="80" w:after="160" w:line="240" w:lineRule="auto"/>
      </w:pPr>
      <w:r>
        <w:rPr>
          <w:rFonts w:ascii="Arial Unicode MS" w:hAnsi="Arial Unicode MS" w:eastAsia="Arial Unicode MS"/>
          <w:b/>
          <w:color w:val="617080"/>
          <w:sz w:val="18"/>
        </w:rPr>
        <w:t>资料来源：</w:t>
      </w:r>
      <w:hyperlink r:id="rId11">
        <w:r>
          <w:rPr>
            <w:color w:val="2E74B5"/>
            <w:u w:val="single"/>
            <w:rFonts w:ascii="Arial Unicode MS" w:hAnsi="Arial Unicode MS" w:eastAsia="Arial Unicode MS"/>
          </w:rPr>
          <w:t>MAVR官网</w:t>
        </w:r>
      </w:hyperlink>
    </w:p>
    <w:p>
      <w:pPr>
        <w:pStyle w:val="Heading2"/>
      </w:pPr>
      <w:r>
        <w:t>4.6 食物记录与食品数据库</w:t>
      </w:r>
    </w:p>
    <w:p>
      <w:pPr>
        <w:widowControl/>
        <w:spacing w:before="0" w:after="120" w:line="264" w:lineRule="auto"/>
      </w:pPr>
      <w:r>
        <w:rPr>
          <w:rFonts w:ascii="Arial Unicode MS" w:hAnsi="Arial Unicode MS" w:eastAsia="Arial Unicode MS"/>
          <w:b/>
          <w:color w:val="1D2733"/>
        </w:rPr>
        <w:t>已核实功能：</w:t>
      </w:r>
      <w:r>
        <w:rPr>
          <w:rFonts w:ascii="Arial Unicode MS" w:hAnsi="Arial Unicode MS" w:eastAsia="Arial Unicode MS"/>
          <w:color w:val="1D2733"/>
        </w:rPr>
        <w:t>产品提供厂商口径超过400万条食品、条码扫描、搜索、自定义食物与食谱、常用库、文字记录、AI拍照识别、多食物记录和标准份量。</w:t>
      </w:r>
    </w:p>
    <w:p>
      <w:pPr>
        <w:widowControl/>
        <w:spacing w:before="0" w:after="120" w:line="264" w:lineRule="auto"/>
      </w:pPr>
      <w:r>
        <w:rPr>
          <w:rFonts w:ascii="Arial Unicode MS" w:hAnsi="Arial Unicode MS" w:eastAsia="Arial Unicode MS"/>
          <w:b/>
          <w:color w:val="1D2733"/>
        </w:rPr>
        <w:t>用户价值：</w:t>
      </w:r>
      <w:r>
        <w:rPr>
          <w:rFonts w:ascii="Arial Unicode MS" w:hAnsi="Arial Unicode MS" w:eastAsia="Arial Unicode MS"/>
          <w:color w:val="1D2733"/>
        </w:rPr>
        <w:t>衡量实际摄入与建议目标的差距，为Kai和后续餐食调整提供上下文。</w:t>
      </w:r>
    </w:p>
    <w:p>
      <w:pPr>
        <w:widowControl/>
        <w:spacing w:before="0" w:after="120" w:line="264" w:lineRule="auto"/>
      </w:pPr>
      <w:r>
        <w:rPr>
          <w:rFonts w:ascii="Arial Unicode MS" w:hAnsi="Arial Unicode MS" w:eastAsia="Arial Unicode MS"/>
          <w:b/>
          <w:color w:val="1D2733"/>
        </w:rPr>
        <w:t>产品判断：</w:t>
      </w:r>
      <w:r>
        <w:rPr>
          <w:rFonts w:ascii="Arial Unicode MS" w:hAnsi="Arial Unicode MS" w:eastAsia="Arial Unicode MS"/>
          <w:color w:val="1D2733"/>
        </w:rPr>
        <w:t>食物记录是高摩擦环节。应支持轻记录、标准记录和精细记录三档，而不是要求所有用户每天完整记录全部饮食。食品来源、份量和混合菜识别误差需要显式管理。</w:t>
      </w:r>
    </w:p>
    <w:p>
      <w:pPr>
        <w:widowControl/>
        <w:spacing w:before="80" w:after="160" w:line="240" w:lineRule="auto"/>
      </w:pPr>
      <w:r>
        <w:rPr>
          <w:rFonts w:ascii="Arial Unicode MS" w:hAnsi="Arial Unicode MS" w:eastAsia="Arial Unicode MS"/>
          <w:b/>
          <w:color w:val="617080"/>
          <w:sz w:val="18"/>
        </w:rPr>
        <w:t>资料来源：</w:t>
      </w:r>
      <w:hyperlink r:id="rId12">
        <w:r>
          <w:rPr>
            <w:color w:val="2E74B5"/>
            <w:u w:val="single"/>
            <w:rFonts w:ascii="Arial Unicode MS" w:hAnsi="Arial Unicode MS" w:eastAsia="Arial Unicode MS"/>
          </w:rPr>
          <w:t>美国区App Store</w:t>
        </w:r>
      </w:hyperlink>
    </w:p>
    <w:p>
      <w:pPr>
        <w:pStyle w:val="Heading2"/>
      </w:pPr>
      <w:r>
        <w:t>4.7 Workout Fueling／训练中补给</w:t>
      </w:r>
    </w:p>
    <w:p>
      <w:pPr>
        <w:widowControl/>
        <w:spacing w:before="0" w:after="120" w:line="264" w:lineRule="auto"/>
      </w:pPr>
      <w:r>
        <w:rPr>
          <w:rFonts w:ascii="Arial Unicode MS" w:hAnsi="Arial Unicode MS" w:eastAsia="Arial Unicode MS"/>
          <w:b/>
          <w:color w:val="1D2733"/>
        </w:rPr>
        <w:t>已核实功能：</w:t>
      </w:r>
      <w:r>
        <w:rPr>
          <w:rFonts w:ascii="Arial Unicode MS" w:hAnsi="Arial Unicode MS" w:eastAsia="Arial Unicode MS"/>
          <w:color w:val="1D2733"/>
        </w:rPr>
        <w:t>系统根据项目、时长、强度和身体数据判断是否需要补碳水，计算每小时克数、首次摄入时间、后续间隔、总补给品数量以及搭配水量。</w:t>
      </w:r>
    </w:p>
    <w:p>
      <w:pPr>
        <w:widowControl/>
        <w:spacing w:before="0" w:after="120" w:line="264" w:lineRule="auto"/>
      </w:pPr>
      <w:r>
        <w:rPr>
          <w:rFonts w:ascii="Arial Unicode MS" w:hAnsi="Arial Unicode MS" w:eastAsia="Arial Unicode MS"/>
          <w:b/>
          <w:color w:val="1D2733"/>
        </w:rPr>
        <w:t>用户价值：</w:t>
      </w:r>
      <w:r>
        <w:rPr>
          <w:rFonts w:ascii="Arial Unicode MS" w:hAnsi="Arial Unicode MS" w:eastAsia="Arial Unicode MS"/>
          <w:color w:val="1D2733"/>
        </w:rPr>
        <w:t>为90分钟以上长跑、马拉松专项长距离、长骑、Brick和超马训练生成可直接执行的携带清单。</w:t>
      </w:r>
    </w:p>
    <w:p>
      <w:pPr>
        <w:widowControl/>
        <w:spacing w:before="0" w:after="120" w:line="264" w:lineRule="auto"/>
      </w:pPr>
      <w:r>
        <w:rPr>
          <w:rFonts w:ascii="Arial Unicode MS" w:hAnsi="Arial Unicode MS" w:eastAsia="Arial Unicode MS"/>
          <w:b/>
          <w:color w:val="1D2733"/>
        </w:rPr>
        <w:t>产品判断：</w:t>
      </w:r>
      <w:r>
        <w:rPr>
          <w:rFonts w:ascii="Arial Unicode MS" w:hAnsi="Arial Unicode MS" w:eastAsia="Arial Unicode MS"/>
          <w:color w:val="1D2733"/>
        </w:rPr>
        <w:t>这是最适合做MVP和首次激活的模块，因为用户可以立即得到“明天跑两个半小时，带几支胶和多少饮料”的明确答案。</w:t>
      </w:r>
    </w:p>
    <w:p>
      <w:pPr>
        <w:widowControl/>
        <w:spacing w:before="80" w:after="160" w:line="240" w:lineRule="auto"/>
      </w:pPr>
      <w:r>
        <w:rPr>
          <w:rFonts w:ascii="Arial Unicode MS" w:hAnsi="Arial Unicode MS" w:eastAsia="Arial Unicode MS"/>
          <w:b/>
          <w:color w:val="617080"/>
          <w:sz w:val="18"/>
        </w:rPr>
        <w:t>资料来源：</w:t>
      </w:r>
      <w:hyperlink r:id="rId16">
        <w:r>
          <w:rPr>
            <w:color w:val="2E74B5"/>
            <w:u w:val="single"/>
            <w:rFonts w:ascii="Arial Unicode MS" w:hAnsi="Arial Unicode MS" w:eastAsia="Arial Unicode MS"/>
          </w:rPr>
          <w:t>训练补给计算说明</w:t>
        </w:r>
      </w:hyperlink>
    </w:p>
    <w:p>
      <w:pPr>
        <w:pStyle w:val="Heading2"/>
      </w:pPr>
      <w:r>
        <w:t>4.8 Fuel Kit／补给产品包</w:t>
      </w:r>
    </w:p>
    <w:p>
      <w:pPr>
        <w:widowControl/>
        <w:spacing w:before="0" w:after="120" w:line="264" w:lineRule="auto"/>
      </w:pPr>
      <w:r>
        <w:rPr>
          <w:rFonts w:ascii="Arial Unicode MS" w:hAnsi="Arial Unicode MS" w:eastAsia="Arial Unicode MS"/>
          <w:b/>
          <w:color w:val="1D2733"/>
        </w:rPr>
        <w:t>已核实功能：</w:t>
      </w:r>
      <w:r>
        <w:rPr>
          <w:rFonts w:ascii="Arial Unicode MS" w:hAnsi="Arial Unicode MS" w:eastAsia="Arial Unicode MS"/>
          <w:color w:val="1D2733"/>
        </w:rPr>
        <w:t>用户可保存常用能量胶、软糖、运动饮料、能量棒等产品，并分配到不同运动项目。</w:t>
      </w:r>
    </w:p>
    <w:p>
      <w:pPr>
        <w:widowControl/>
        <w:spacing w:before="0" w:after="120" w:line="264" w:lineRule="auto"/>
      </w:pPr>
      <w:r>
        <w:rPr>
          <w:rFonts w:ascii="Arial Unicode MS" w:hAnsi="Arial Unicode MS" w:eastAsia="Arial Unicode MS"/>
          <w:b/>
          <w:color w:val="1D2733"/>
        </w:rPr>
        <w:t>用户价值：</w:t>
      </w:r>
      <w:r>
        <w:rPr>
          <w:rFonts w:ascii="Arial Unicode MS" w:hAnsi="Arial Unicode MS" w:eastAsia="Arial Unicode MS"/>
          <w:color w:val="1D2733"/>
        </w:rPr>
        <w:t>把每小时碳水克数转换成真实商品及数量，缩短从建议到行动的距离。</w:t>
      </w:r>
    </w:p>
    <w:p>
      <w:pPr>
        <w:widowControl/>
        <w:spacing w:before="0" w:after="120" w:line="264" w:lineRule="auto"/>
      </w:pPr>
      <w:r>
        <w:rPr>
          <w:rFonts w:ascii="Arial Unicode MS" w:hAnsi="Arial Unicode MS" w:eastAsia="Arial Unicode MS"/>
          <w:b/>
          <w:color w:val="1D2733"/>
        </w:rPr>
        <w:t>产品判断：</w:t>
      </w:r>
      <w:r>
        <w:rPr>
          <w:rFonts w:ascii="Arial Unicode MS" w:hAnsi="Arial Unicode MS" w:eastAsia="Arial Unicode MS"/>
          <w:color w:val="1D2733"/>
        </w:rPr>
        <w:t>Fuel Kit既是执行工具，也是未来电商和品牌合作接口。可扩展购物清单、替代产品和胃肠耐受推荐，但商业合作不能破坏营养建议中立性。</w:t>
      </w:r>
    </w:p>
    <w:p>
      <w:pPr>
        <w:pStyle w:val="Heading2"/>
      </w:pPr>
      <w:r>
        <w:t>4.9 汗率、补水与电解质</w:t>
      </w:r>
    </w:p>
    <w:p>
      <w:pPr>
        <w:widowControl/>
        <w:spacing w:before="0" w:after="120" w:line="264" w:lineRule="auto"/>
      </w:pPr>
      <w:r>
        <w:rPr>
          <w:rFonts w:ascii="Arial Unicode MS" w:hAnsi="Arial Unicode MS" w:eastAsia="Arial Unicode MS"/>
          <w:b/>
          <w:color w:val="1D2733"/>
        </w:rPr>
        <w:t>已核实功能：</w:t>
      </w:r>
      <w:r>
        <w:rPr>
          <w:rFonts w:ascii="Arial Unicode MS" w:hAnsi="Arial Unicode MS" w:eastAsia="Arial Unicode MS"/>
          <w:color w:val="1D2733"/>
        </w:rPr>
        <w:t>MAVR依据天气、训练强度与时长、汗率、汗液盐度、是否携水和赛事补给站生成液体与钠建议；版本资料还显示其支持家庭汗率测试或实验室数据导入。</w:t>
      </w:r>
    </w:p>
    <w:p>
      <w:pPr>
        <w:widowControl/>
        <w:spacing w:before="0" w:after="120" w:line="264" w:lineRule="auto"/>
      </w:pPr>
      <w:r>
        <w:rPr>
          <w:rFonts w:ascii="Arial Unicode MS" w:hAnsi="Arial Unicode MS" w:eastAsia="Arial Unicode MS"/>
          <w:b/>
          <w:color w:val="1D2733"/>
        </w:rPr>
        <w:t>用户价值：</w:t>
      </w:r>
      <w:r>
        <w:rPr>
          <w:rFonts w:ascii="Arial Unicode MS" w:hAnsi="Arial Unicode MS" w:eastAsia="Arial Unicode MS"/>
          <w:color w:val="1D2733"/>
        </w:rPr>
        <w:t>将碳水、液体和钠放在同一补给方案里，避免孤立计算。</w:t>
      </w:r>
    </w:p>
    <w:p>
      <w:pPr>
        <w:widowControl/>
        <w:spacing w:before="0" w:after="120" w:line="264" w:lineRule="auto"/>
      </w:pPr>
      <w:r>
        <w:rPr>
          <w:rFonts w:ascii="Arial Unicode MS" w:hAnsi="Arial Unicode MS" w:eastAsia="Arial Unicode MS"/>
          <w:b/>
          <w:color w:val="1D2733"/>
        </w:rPr>
        <w:t>产品判断：</w:t>
      </w:r>
      <w:r>
        <w:rPr>
          <w:rFonts w:ascii="Arial Unicode MS" w:hAnsi="Arial Unicode MS" w:eastAsia="Arial Unicode MS"/>
          <w:color w:val="1D2733"/>
        </w:rPr>
        <w:t>这是安全风险最高的模块。必须有上下限、高温警告、症状停止规则、特殊人群排除和专业咨询入口。MAVR条款也明确提示脱水、低钠血症、热疾病和胃肠道不适风险。</w:t>
      </w:r>
    </w:p>
    <w:p>
      <w:pPr>
        <w:widowControl/>
        <w:spacing w:before="80" w:after="160" w:line="240" w:lineRule="auto"/>
      </w:pPr>
      <w:r>
        <w:rPr>
          <w:rFonts w:ascii="Arial Unicode MS" w:hAnsi="Arial Unicode MS" w:eastAsia="Arial Unicode MS"/>
          <w:b/>
          <w:color w:val="617080"/>
          <w:sz w:val="18"/>
        </w:rPr>
        <w:t>资料来源：</w:t>
      </w:r>
      <w:hyperlink r:id="rId17">
        <w:r>
          <w:rPr>
            <w:color w:val="2E74B5"/>
            <w:u w:val="single"/>
            <w:rFonts w:ascii="Arial Unicode MS" w:hAnsi="Arial Unicode MS" w:eastAsia="Arial Unicode MS"/>
          </w:rPr>
          <w:t>MAVR服务条款</w:t>
        </w:r>
      </w:hyperlink>
    </w:p>
    <w:p>
      <w:pPr>
        <w:pStyle w:val="Heading2"/>
      </w:pPr>
      <w:r>
        <w:t>4.10 比赛补给计划</w:t>
      </w:r>
    </w:p>
    <w:p>
      <w:pPr>
        <w:widowControl/>
        <w:spacing w:before="0" w:after="120" w:line="264" w:lineRule="auto"/>
      </w:pPr>
      <w:r>
        <w:rPr>
          <w:rFonts w:ascii="Arial Unicode MS" w:hAnsi="Arial Unicode MS" w:eastAsia="Arial Unicode MS"/>
          <w:b/>
          <w:color w:val="1D2733"/>
        </w:rPr>
        <w:t>已核实功能：</w:t>
      </w:r>
      <w:r>
        <w:rPr>
          <w:rFonts w:ascii="Arial Unicode MS" w:hAnsi="Arial Unicode MS" w:eastAsia="Arial Unicode MS"/>
          <w:color w:val="1D2733"/>
        </w:rPr>
        <w:t>比赛计算器使用比赛类型、赛道、能量胶产品、每小时碳水、体重、年龄、性别、目标配速、天气、汗率、汗液盐度及补水方式，输出赛前碳水、早餐、咖啡因、液体、钠和分时补给。</w:t>
      </w:r>
    </w:p>
    <w:p>
      <w:pPr>
        <w:widowControl/>
        <w:spacing w:before="0" w:after="120" w:line="264" w:lineRule="auto"/>
      </w:pPr>
      <w:r>
        <w:rPr>
          <w:rFonts w:ascii="Arial Unicode MS" w:hAnsi="Arial Unicode MS" w:eastAsia="Arial Unicode MS"/>
          <w:b/>
          <w:color w:val="1D2733"/>
        </w:rPr>
        <w:t>用户价值：</w:t>
      </w:r>
      <w:r>
        <w:rPr>
          <w:rFonts w:ascii="Arial Unicode MS" w:hAnsi="Arial Unicode MS" w:eastAsia="Arial Unicode MS"/>
          <w:color w:val="1D2733"/>
        </w:rPr>
        <w:t>将高失败成本的比赛营养问题转换成逐小时、逐产品、逐补给站计划。</w:t>
      </w:r>
    </w:p>
    <w:p>
      <w:pPr>
        <w:widowControl/>
        <w:spacing w:before="0" w:after="120" w:line="264" w:lineRule="auto"/>
      </w:pPr>
      <w:r>
        <w:rPr>
          <w:rFonts w:ascii="Arial Unicode MS" w:hAnsi="Arial Unicode MS" w:eastAsia="Arial Unicode MS"/>
          <w:b/>
          <w:color w:val="1D2733"/>
        </w:rPr>
        <w:t>产品判断：</w:t>
      </w:r>
      <w:r>
        <w:rPr>
          <w:rFonts w:ascii="Arial Unicode MS" w:hAnsi="Arial Unicode MS" w:eastAsia="Arial Unicode MS"/>
          <w:color w:val="1D2733"/>
        </w:rPr>
        <w:t>比赛场景具有明确日期和较高付费意愿，是最强转化入口。MAVR的优势是覆盖比赛周、早餐、赛中执行和赛后恢复，而不是只算能量胶数量。</w:t>
      </w:r>
    </w:p>
    <w:p>
      <w:pPr>
        <w:widowControl/>
        <w:spacing w:before="80" w:after="160" w:line="240" w:lineRule="auto"/>
      </w:pPr>
      <w:r>
        <w:rPr>
          <w:rFonts w:ascii="Arial Unicode MS" w:hAnsi="Arial Unicode MS" w:eastAsia="Arial Unicode MS"/>
          <w:b/>
          <w:color w:val="617080"/>
          <w:sz w:val="18"/>
        </w:rPr>
        <w:t>资料来源：</w:t>
      </w:r>
      <w:hyperlink r:id="rId18">
        <w:r>
          <w:rPr>
            <w:color w:val="2E74B5"/>
            <w:u w:val="single"/>
            <w:rFonts w:ascii="Arial Unicode MS" w:hAnsi="Arial Unicode MS" w:eastAsia="Arial Unicode MS"/>
          </w:rPr>
          <w:t>MAVR比赛计算器</w:t>
        </w:r>
      </w:hyperlink>
    </w:p>
    <w:p>
      <w:pPr>
        <w:pStyle w:val="Heading2"/>
      </w:pPr>
      <w:r>
        <w:t>4.11 赛道与补给站数据库</w:t>
      </w:r>
    </w:p>
    <w:p>
      <w:pPr>
        <w:widowControl/>
        <w:spacing w:before="0" w:after="120" w:line="264" w:lineRule="auto"/>
      </w:pPr>
      <w:r>
        <w:rPr>
          <w:rFonts w:ascii="Arial Unicode MS" w:hAnsi="Arial Unicode MS" w:eastAsia="Arial Unicode MS"/>
          <w:b/>
          <w:color w:val="1D2733"/>
        </w:rPr>
        <w:t>已核实功能：</w:t>
      </w:r>
      <w:r>
        <w:rPr>
          <w:rFonts w:ascii="Arial Unicode MS" w:hAnsi="Arial Unicode MS" w:eastAsia="Arial Unicode MS"/>
          <w:color w:val="1D2733"/>
        </w:rPr>
        <w:t>官网当前展示128场已映射赛事、1,453个补给站、覆盖30个国家，并记录水、运动饮料、能量胶和水果等信息；这些数字属于厂商口径。</w:t>
      </w:r>
    </w:p>
    <w:p>
      <w:pPr>
        <w:widowControl/>
        <w:spacing w:before="0" w:after="120" w:line="264" w:lineRule="auto"/>
      </w:pPr>
      <w:r>
        <w:rPr>
          <w:rFonts w:ascii="Arial Unicode MS" w:hAnsi="Arial Unicode MS" w:eastAsia="Arial Unicode MS"/>
          <w:b/>
          <w:color w:val="1D2733"/>
        </w:rPr>
        <w:t>用户价值：</w:t>
      </w:r>
      <w:r>
        <w:rPr>
          <w:rFonts w:ascii="Arial Unicode MS" w:hAnsi="Arial Unicode MS" w:eastAsia="Arial Unicode MS"/>
          <w:color w:val="1D2733"/>
        </w:rPr>
        <w:t>将理想摄入时间与真实补给站位置对齐，帮助用户决定在哪里吃胶、在哪里取水。</w:t>
      </w:r>
    </w:p>
    <w:p>
      <w:pPr>
        <w:widowControl/>
        <w:spacing w:before="0" w:after="120" w:line="264" w:lineRule="auto"/>
      </w:pPr>
      <w:r>
        <w:rPr>
          <w:rFonts w:ascii="Arial Unicode MS" w:hAnsi="Arial Unicode MS" w:eastAsia="Arial Unicode MS"/>
          <w:b/>
          <w:color w:val="1D2733"/>
        </w:rPr>
        <w:t>产品判断：</w:t>
      </w:r>
      <w:r>
        <w:rPr>
          <w:rFonts w:ascii="Arial Unicode MS" w:hAnsi="Arial Unicode MS" w:eastAsia="Arial Unicode MS"/>
          <w:color w:val="1D2733"/>
        </w:rPr>
        <w:t>这是差异化数据层，同时承担产品价值、数据积累和SEO获客三重作用。中国大陆赛事覆盖目前明显不足。</w:t>
      </w:r>
    </w:p>
    <w:p>
      <w:pPr>
        <w:widowControl/>
        <w:spacing w:before="80" w:after="160" w:line="240" w:lineRule="auto"/>
      </w:pPr>
      <w:r>
        <w:rPr>
          <w:rFonts w:ascii="Arial Unicode MS" w:hAnsi="Arial Unicode MS" w:eastAsia="Arial Unicode MS"/>
          <w:b/>
          <w:color w:val="617080"/>
          <w:sz w:val="18"/>
        </w:rPr>
        <w:t>资料来源：</w:t>
      </w:r>
      <w:hyperlink r:id="rId19">
        <w:r>
          <w:rPr>
            <w:color w:val="2E74B5"/>
            <w:u w:val="single"/>
            <w:rFonts w:ascii="Arial Unicode MS" w:hAnsi="Arial Unicode MS" w:eastAsia="Arial Unicode MS"/>
          </w:rPr>
          <w:t>赛道与补给站数据库</w:t>
        </w:r>
      </w:hyperlink>
    </w:p>
    <w:p>
      <w:pPr>
        <w:pStyle w:val="Heading2"/>
      </w:pPr>
      <w:r>
        <w:t>4.12 Gut Training／肠胃训练</w:t>
      </w:r>
    </w:p>
    <w:p>
      <w:pPr>
        <w:widowControl/>
        <w:spacing w:before="0" w:after="120" w:line="264" w:lineRule="auto"/>
      </w:pPr>
      <w:r>
        <w:rPr>
          <w:rFonts w:ascii="Arial Unicode MS" w:hAnsi="Arial Unicode MS" w:eastAsia="Arial Unicode MS"/>
          <w:b/>
          <w:color w:val="1D2733"/>
        </w:rPr>
        <w:t>已核实功能：</w:t>
      </w:r>
      <w:r>
        <w:rPr>
          <w:rFonts w:ascii="Arial Unicode MS" w:hAnsi="Arial Unicode MS" w:eastAsia="Arial Unicode MS"/>
          <w:color w:val="1D2733"/>
        </w:rPr>
        <w:t>MAVR提供赛前补给演练与约四周的渐进式肠胃训练思路，鼓励用户在关键长距离训练中逐步提升碳水，并记录耐受。</w:t>
      </w:r>
    </w:p>
    <w:p>
      <w:pPr>
        <w:widowControl/>
        <w:spacing w:before="0" w:after="120" w:line="264" w:lineRule="auto"/>
      </w:pPr>
      <w:r>
        <w:rPr>
          <w:rFonts w:ascii="Arial Unicode MS" w:hAnsi="Arial Unicode MS" w:eastAsia="Arial Unicode MS"/>
          <w:b/>
          <w:color w:val="1D2733"/>
        </w:rPr>
        <w:t>用户价值：</w:t>
      </w:r>
      <w:r>
        <w:rPr>
          <w:rFonts w:ascii="Arial Unicode MS" w:hAnsi="Arial Unicode MS" w:eastAsia="Arial Unicode MS"/>
          <w:color w:val="1D2733"/>
        </w:rPr>
        <w:t>解决“理论上吃得对，比赛中却吃不下”的问题。</w:t>
      </w:r>
    </w:p>
    <w:p>
      <w:pPr>
        <w:widowControl/>
        <w:spacing w:before="0" w:after="120" w:line="264" w:lineRule="auto"/>
      </w:pPr>
      <w:r>
        <w:rPr>
          <w:rFonts w:ascii="Arial Unicode MS" w:hAnsi="Arial Unicode MS" w:eastAsia="Arial Unicode MS"/>
          <w:b/>
          <w:color w:val="1D2733"/>
        </w:rPr>
        <w:t>产品判断：</w:t>
      </w:r>
      <w:r>
        <w:rPr>
          <w:rFonts w:ascii="Arial Unicode MS" w:hAnsi="Arial Unicode MS" w:eastAsia="Arial Unicode MS"/>
          <w:color w:val="1D2733"/>
        </w:rPr>
        <w:t>最有价值的长期数据不是吃了几支胶，而是产品、剂量、强度、天气、胃肠反应和后程表现之间的关系。若能用于个体校正，将成为真正的数据壁垒。</w:t>
      </w:r>
    </w:p>
    <w:p>
      <w:pPr>
        <w:widowControl/>
        <w:spacing w:before="80" w:after="160" w:line="240" w:lineRule="auto"/>
      </w:pPr>
      <w:r>
        <w:rPr>
          <w:rFonts w:ascii="Arial Unicode MS" w:hAnsi="Arial Unicode MS" w:eastAsia="Arial Unicode MS"/>
          <w:b/>
          <w:color w:val="617080"/>
          <w:sz w:val="18"/>
        </w:rPr>
        <w:t>资料来源：</w:t>
      </w:r>
      <w:hyperlink r:id="rId20">
        <w:r>
          <w:rPr>
            <w:color w:val="2E74B5"/>
            <w:u w:val="single"/>
            <w:rFonts w:ascii="Arial Unicode MS" w:hAnsi="Arial Unicode MS" w:eastAsia="Arial Unicode MS"/>
          </w:rPr>
          <w:t>四周肠胃训练方案</w:t>
        </w:r>
      </w:hyperlink>
    </w:p>
    <w:p>
      <w:pPr>
        <w:pStyle w:val="Heading2"/>
      </w:pPr>
      <w:r>
        <w:t>4.13 Kai AI营养教练</w:t>
      </w:r>
    </w:p>
    <w:p>
      <w:pPr>
        <w:widowControl/>
        <w:spacing w:before="0" w:after="120" w:line="264" w:lineRule="auto"/>
      </w:pPr>
      <w:r>
        <w:rPr>
          <w:rFonts w:ascii="Arial Unicode MS" w:hAnsi="Arial Unicode MS" w:eastAsia="Arial Unicode MS"/>
          <w:b/>
          <w:color w:val="1D2733"/>
        </w:rPr>
        <w:t>已核实功能：</w:t>
      </w:r>
      <w:r>
        <w:rPr>
          <w:rFonts w:ascii="Arial Unicode MS" w:hAnsi="Arial Unicode MS" w:eastAsia="Arial Unicode MS"/>
          <w:color w:val="1D2733"/>
        </w:rPr>
        <w:t>Kai可回答补给问题、解释当天目标、推荐餐食、生成食谱、通过对话记录食物并提供恢复和比赛建议。</w:t>
      </w:r>
    </w:p>
    <w:p>
      <w:pPr>
        <w:widowControl/>
        <w:spacing w:before="0" w:after="120" w:line="264" w:lineRule="auto"/>
      </w:pPr>
      <w:r>
        <w:rPr>
          <w:rFonts w:ascii="Arial Unicode MS" w:hAnsi="Arial Unicode MS" w:eastAsia="Arial Unicode MS"/>
          <w:b/>
          <w:color w:val="1D2733"/>
        </w:rPr>
        <w:t>用户价值：</w:t>
      </w:r>
      <w:r>
        <w:rPr>
          <w:rFonts w:ascii="Arial Unicode MS" w:hAnsi="Arial Unicode MS" w:eastAsia="Arial Unicode MS"/>
          <w:color w:val="1D2733"/>
        </w:rPr>
        <w:t>用自然语言操作复杂计划，并利用用户的训练、饮食和比赛上下文提供更及时建议。</w:t>
      </w:r>
    </w:p>
    <w:p>
      <w:pPr>
        <w:widowControl/>
        <w:spacing w:before="0" w:after="120" w:line="264" w:lineRule="auto"/>
      </w:pPr>
      <w:r>
        <w:rPr>
          <w:rFonts w:ascii="Arial Unicode MS" w:hAnsi="Arial Unicode MS" w:eastAsia="Arial Unicode MS"/>
          <w:b/>
          <w:color w:val="1D2733"/>
        </w:rPr>
        <w:t>产品判断：</w:t>
      </w:r>
      <w:r>
        <w:rPr>
          <w:rFonts w:ascii="Arial Unicode MS" w:hAnsi="Arial Unicode MS" w:eastAsia="Arial Unicode MS"/>
          <w:color w:val="1D2733"/>
        </w:rPr>
        <w:t>Kai本身不是壁垒，通用大模型也能答营养问题。真正价值在于上下文质量、工具调用和安全边界。AI输出必须可追溯、可解释并在高风险问题上升级到专业人员。</w:t>
      </w:r>
    </w:p>
    <w:p>
      <w:pPr>
        <w:widowControl/>
        <w:spacing w:before="80" w:after="160" w:line="240" w:lineRule="auto"/>
      </w:pPr>
      <w:r>
        <w:rPr>
          <w:rFonts w:ascii="Arial Unicode MS" w:hAnsi="Arial Unicode MS" w:eastAsia="Arial Unicode MS"/>
          <w:b/>
          <w:color w:val="617080"/>
          <w:sz w:val="18"/>
        </w:rPr>
        <w:t>资料来源：</w:t>
      </w:r>
      <w:hyperlink r:id="rId11">
        <w:r>
          <w:rPr>
            <w:color w:val="2E74B5"/>
            <w:u w:val="single"/>
            <w:rFonts w:ascii="Arial Unicode MS" w:hAnsi="Arial Unicode MS" w:eastAsia="Arial Unicode MS"/>
          </w:rPr>
          <w:t>MAVR官网</w:t>
        </w:r>
      </w:hyperlink>
    </w:p>
    <w:p>
      <w:pPr>
        <w:pStyle w:val="Heading2"/>
      </w:pPr>
      <w:r>
        <w:t>4.14 MAVR Score、进度与提醒</w:t>
      </w:r>
    </w:p>
    <w:p>
      <w:pPr>
        <w:widowControl/>
        <w:spacing w:before="0" w:after="120" w:line="264" w:lineRule="auto"/>
      </w:pPr>
      <w:r>
        <w:rPr>
          <w:rFonts w:ascii="Arial Unicode MS" w:hAnsi="Arial Unicode MS" w:eastAsia="Arial Unicode MS"/>
          <w:b/>
          <w:color w:val="1D2733"/>
        </w:rPr>
        <w:t>已核实功能：</w:t>
      </w:r>
      <w:r>
        <w:rPr>
          <w:rFonts w:ascii="Arial Unicode MS" w:hAnsi="Arial Unicode MS" w:eastAsia="Arial Unicode MS"/>
          <w:color w:val="1D2733"/>
        </w:rPr>
        <w:t>产品提供MAVR Score、三日营养评估、体重趋势、宏量分析、Widget、明日训练准备、补给和碳水装载提醒等。</w:t>
      </w:r>
    </w:p>
    <w:p>
      <w:pPr>
        <w:widowControl/>
        <w:spacing w:before="0" w:after="120" w:line="264" w:lineRule="auto"/>
      </w:pPr>
      <w:r>
        <w:rPr>
          <w:rFonts w:ascii="Arial Unicode MS" w:hAnsi="Arial Unicode MS" w:eastAsia="Arial Unicode MS"/>
          <w:b/>
          <w:color w:val="1D2733"/>
        </w:rPr>
        <w:t>用户价值：</w:t>
      </w:r>
      <w:r>
        <w:rPr>
          <w:rFonts w:ascii="Arial Unicode MS" w:hAnsi="Arial Unicode MS" w:eastAsia="Arial Unicode MS"/>
          <w:color w:val="1D2733"/>
        </w:rPr>
        <w:t>通过分数、进度和提醒建立日常使用习惯，并让比赛准备具有连续性。</w:t>
      </w:r>
    </w:p>
    <w:p>
      <w:pPr>
        <w:widowControl/>
        <w:spacing w:before="0" w:after="120" w:line="264" w:lineRule="auto"/>
      </w:pPr>
      <w:r>
        <w:rPr>
          <w:rFonts w:ascii="Arial Unicode MS" w:hAnsi="Arial Unicode MS" w:eastAsia="Arial Unicode MS"/>
          <w:b/>
          <w:color w:val="1D2733"/>
        </w:rPr>
        <w:t>产品判断：</w:t>
      </w:r>
      <w:r>
        <w:rPr>
          <w:rFonts w:ascii="Arial Unicode MS" w:hAnsi="Arial Unicode MS" w:eastAsia="Arial Unicode MS"/>
          <w:color w:val="1D2733"/>
        </w:rPr>
        <w:t>评分机制可能引发“为了分数而吃”和营养焦虑。更适合衡量关键行为与准备度，而不是追求绝对100分。公开资料尚未充分披露其评分公式。</w:t>
      </w:r>
    </w:p>
    <w:p>
      <w:pPr>
        <w:widowControl/>
        <w:spacing w:before="80" w:after="160" w:line="240" w:lineRule="auto"/>
      </w:pPr>
      <w:r>
        <w:rPr>
          <w:rFonts w:ascii="Arial Unicode MS" w:hAnsi="Arial Unicode MS" w:eastAsia="Arial Unicode MS"/>
          <w:b/>
          <w:color w:val="617080"/>
          <w:sz w:val="18"/>
        </w:rPr>
        <w:t>资料来源：</w:t>
      </w:r>
      <w:hyperlink r:id="rId21">
        <w:r>
          <w:rPr>
            <w:color w:val="2E74B5"/>
            <w:u w:val="single"/>
            <w:rFonts w:ascii="Arial Unicode MS" w:hAnsi="Arial Unicode MS" w:eastAsia="Arial Unicode MS"/>
          </w:rPr>
          <w:t>MAVR产品更新</w:t>
        </w:r>
      </w:hyperlink>
    </w:p>
    <w:p>
      <w:pPr>
        <w:pStyle w:val="Heading1"/>
      </w:pPr>
      <w:r>
        <w:t>5. 三条核心用户路径</w:t>
      </w:r>
    </w:p>
    <w:p>
      <w:pPr>
        <w:pStyle w:val="Heading2"/>
      </w:pPr>
      <w:r>
        <w:t>5.1 普通训练日</w:t>
      </w:r>
    </w:p>
    <w:p>
      <w:pPr>
        <w:widowControl/>
        <w:numPr>
          <w:ilvl w:val="0"/>
          <w:numId w:val="12"/>
        </w:numPr>
        <w:spacing w:before="0" w:after="80" w:line="280" w:lineRule="auto"/>
      </w:pPr>
      <w:r>
        <w:rPr>
          <w:rFonts w:ascii="Arial Unicode MS" w:hAnsi="Arial Unicode MS" w:eastAsia="Arial Unicode MS"/>
        </w:rPr>
        <w:t>自动读取训练日历并识别训练类型、强度和持续时间。</w:t>
      </w:r>
    </w:p>
    <w:p>
      <w:pPr>
        <w:widowControl/>
        <w:numPr>
          <w:ilvl w:val="0"/>
          <w:numId w:val="12"/>
        </w:numPr>
        <w:spacing w:before="0" w:after="80" w:line="280" w:lineRule="auto"/>
      </w:pPr>
      <w:r>
        <w:rPr>
          <w:rFonts w:ascii="Arial Unicode MS" w:hAnsi="Arial Unicode MS" w:eastAsia="Arial Unicode MS"/>
        </w:rPr>
        <w:t>生成全天热量、碳水、蛋白质和水分目标。</w:t>
      </w:r>
    </w:p>
    <w:p>
      <w:pPr>
        <w:widowControl/>
        <w:numPr>
          <w:ilvl w:val="0"/>
          <w:numId w:val="12"/>
        </w:numPr>
        <w:spacing w:before="0" w:after="80" w:line="280" w:lineRule="auto"/>
      </w:pPr>
      <w:r>
        <w:rPr>
          <w:rFonts w:ascii="Arial Unicode MS" w:hAnsi="Arial Unicode MS" w:eastAsia="Arial Unicode MS"/>
        </w:rPr>
        <w:t>将营养分配到训练前、训练中和训练后。</w:t>
      </w:r>
    </w:p>
    <w:p>
      <w:pPr>
        <w:widowControl/>
        <w:numPr>
          <w:ilvl w:val="0"/>
          <w:numId w:val="12"/>
        </w:numPr>
        <w:spacing w:before="0" w:after="80" w:line="280" w:lineRule="auto"/>
      </w:pPr>
      <w:r>
        <w:rPr>
          <w:rFonts w:ascii="Arial Unicode MS" w:hAnsi="Arial Unicode MS" w:eastAsia="Arial Unicode MS"/>
        </w:rPr>
        <w:t>用户记录食物，Live Energy和MAVR Score更新。</w:t>
      </w:r>
    </w:p>
    <w:p>
      <w:pPr>
        <w:widowControl/>
        <w:numPr>
          <w:ilvl w:val="0"/>
          <w:numId w:val="12"/>
        </w:numPr>
        <w:spacing w:before="0" w:after="80" w:line="280" w:lineRule="auto"/>
      </w:pPr>
      <w:r>
        <w:rPr>
          <w:rFonts w:ascii="Arial Unicode MS" w:hAnsi="Arial Unicode MS" w:eastAsia="Arial Unicode MS"/>
        </w:rPr>
        <w:t>Kai根据差距推荐后续餐食。</w:t>
      </w:r>
    </w:p>
    <w:p>
      <w:pPr>
        <w:pStyle w:val="Heading2"/>
      </w:pPr>
      <w:r>
        <w:t>5.2 周末长距离训练</w:t>
      </w:r>
    </w:p>
    <w:p>
      <w:pPr>
        <w:widowControl/>
        <w:numPr>
          <w:ilvl w:val="0"/>
          <w:numId w:val="12"/>
        </w:numPr>
        <w:spacing w:before="0" w:after="80" w:line="280" w:lineRule="auto"/>
      </w:pPr>
      <w:r>
        <w:rPr>
          <w:rFonts w:ascii="Arial Unicode MS" w:hAnsi="Arial Unicode MS" w:eastAsia="Arial Unicode MS"/>
        </w:rPr>
        <w:t>识别即将到来的长跑，并在前一天给出准备提示。</w:t>
      </w:r>
    </w:p>
    <w:p>
      <w:pPr>
        <w:widowControl/>
        <w:numPr>
          <w:ilvl w:val="0"/>
          <w:numId w:val="12"/>
        </w:numPr>
        <w:spacing w:before="0" w:after="80" w:line="280" w:lineRule="auto"/>
      </w:pPr>
      <w:r>
        <w:rPr>
          <w:rFonts w:ascii="Arial Unicode MS" w:hAnsi="Arial Unicode MS" w:eastAsia="Arial Unicode MS"/>
        </w:rPr>
        <w:t>生成早餐和训练前加餐。</w:t>
      </w:r>
    </w:p>
    <w:p>
      <w:pPr>
        <w:widowControl/>
        <w:numPr>
          <w:ilvl w:val="0"/>
          <w:numId w:val="12"/>
        </w:numPr>
        <w:spacing w:before="0" w:after="80" w:line="280" w:lineRule="auto"/>
      </w:pPr>
      <w:r>
        <w:rPr>
          <w:rFonts w:ascii="Arial Unicode MS" w:hAnsi="Arial Unicode MS" w:eastAsia="Arial Unicode MS"/>
        </w:rPr>
        <w:t>按时长输出每小时碳水、液体和钠。</w:t>
      </w:r>
    </w:p>
    <w:p>
      <w:pPr>
        <w:widowControl/>
        <w:numPr>
          <w:ilvl w:val="0"/>
          <w:numId w:val="12"/>
        </w:numPr>
        <w:spacing w:before="0" w:after="80" w:line="280" w:lineRule="auto"/>
      </w:pPr>
      <w:r>
        <w:rPr>
          <w:rFonts w:ascii="Arial Unicode MS" w:hAnsi="Arial Unicode MS" w:eastAsia="Arial Unicode MS"/>
        </w:rPr>
        <w:t>从Fuel Kit选择用户常用产品，生成携带数量与时间轴。</w:t>
      </w:r>
    </w:p>
    <w:p>
      <w:pPr>
        <w:widowControl/>
        <w:numPr>
          <w:ilvl w:val="0"/>
          <w:numId w:val="12"/>
        </w:numPr>
        <w:spacing w:before="0" w:after="80" w:line="280" w:lineRule="auto"/>
      </w:pPr>
      <w:r>
        <w:rPr>
          <w:rFonts w:ascii="Arial Unicode MS" w:hAnsi="Arial Unicode MS" w:eastAsia="Arial Unicode MS"/>
        </w:rPr>
        <w:t>训练后提醒恢复餐并记录肠胃耐受。</w:t>
      </w:r>
    </w:p>
    <w:p>
      <w:pPr>
        <w:pStyle w:val="Heading2"/>
      </w:pPr>
      <w:r>
        <w:t>5.3 比赛周期</w:t>
      </w:r>
    </w:p>
    <w:p>
      <w:pPr>
        <w:widowControl/>
        <w:numPr>
          <w:ilvl w:val="0"/>
          <w:numId w:val="12"/>
        </w:numPr>
        <w:spacing w:before="0" w:after="80" w:line="280" w:lineRule="auto"/>
      </w:pPr>
      <w:r>
        <w:rPr>
          <w:rFonts w:ascii="Arial Unicode MS" w:hAnsi="Arial Unicode MS" w:eastAsia="Arial Unicode MS"/>
        </w:rPr>
        <w:t>选择目标赛事，导入赛道及补给站。</w:t>
      </w:r>
    </w:p>
    <w:p>
      <w:pPr>
        <w:widowControl/>
        <w:numPr>
          <w:ilvl w:val="0"/>
          <w:numId w:val="12"/>
        </w:numPr>
        <w:spacing w:before="0" w:after="80" w:line="280" w:lineRule="auto"/>
      </w:pPr>
      <w:r>
        <w:rPr>
          <w:rFonts w:ascii="Arial Unicode MS" w:hAnsi="Arial Unicode MS" w:eastAsia="Arial Unicode MS"/>
        </w:rPr>
        <w:t>设置目标配速、天气、汗率和补给品。</w:t>
      </w:r>
    </w:p>
    <w:p>
      <w:pPr>
        <w:widowControl/>
        <w:numPr>
          <w:ilvl w:val="0"/>
          <w:numId w:val="12"/>
        </w:numPr>
        <w:spacing w:before="0" w:after="80" w:line="280" w:lineRule="auto"/>
      </w:pPr>
      <w:r>
        <w:rPr>
          <w:rFonts w:ascii="Arial Unicode MS" w:hAnsi="Arial Unicode MS" w:eastAsia="Arial Unicode MS"/>
        </w:rPr>
        <w:t>生成赛前数日碳水装载、比赛早餐和起跑前补给。</w:t>
      </w:r>
    </w:p>
    <w:p>
      <w:pPr>
        <w:widowControl/>
        <w:numPr>
          <w:ilvl w:val="0"/>
          <w:numId w:val="12"/>
        </w:numPr>
        <w:spacing w:before="0" w:after="80" w:line="280" w:lineRule="auto"/>
      </w:pPr>
      <w:r>
        <w:rPr>
          <w:rFonts w:ascii="Arial Unicode MS" w:hAnsi="Arial Unicode MS" w:eastAsia="Arial Unicode MS"/>
        </w:rPr>
        <w:t>将胶、水和钠与赛道补给站对齐。</w:t>
      </w:r>
    </w:p>
    <w:p>
      <w:pPr>
        <w:widowControl/>
        <w:numPr>
          <w:ilvl w:val="0"/>
          <w:numId w:val="12"/>
        </w:numPr>
        <w:spacing w:before="0" w:after="80" w:line="280" w:lineRule="auto"/>
      </w:pPr>
      <w:r>
        <w:rPr>
          <w:rFonts w:ascii="Arial Unicode MS" w:hAnsi="Arial Unicode MS" w:eastAsia="Arial Unicode MS"/>
        </w:rPr>
        <w:t>在赛前长跑中反复演练并在比赛后复盘。</w:t>
      </w:r>
    </w:p>
    <w:p>
      <w:pPr>
        <w:pStyle w:val="Heading1"/>
        <w:pageBreakBefore/>
      </w:pPr>
      <w:r>
        <w:t>6. 商业化、增长与留存</w:t>
      </w:r>
    </w:p>
    <w:p>
      <w:pPr>
        <w:pStyle w:val="Heading2"/>
      </w:pPr>
      <w:r>
        <w:t>6.1 获客漏斗</w:t>
      </w:r>
    </w:p>
    <w:p>
      <w:pPr>
        <w:widowControl/>
        <w:numPr>
          <w:ilvl w:val="0"/>
          <w:numId w:val="13"/>
        </w:numPr>
        <w:spacing w:before="0" w:after="80" w:line="280" w:lineRule="auto"/>
      </w:pPr>
      <w:r>
        <w:rPr>
          <w:rFonts w:ascii="Arial Unicode MS" w:hAnsi="Arial Unicode MS" w:eastAsia="Arial Unicode MS"/>
        </w:rPr>
        <w:t>运动营养科普文章和竞品对比内容。</w:t>
      </w:r>
    </w:p>
    <w:p>
      <w:pPr>
        <w:widowControl/>
        <w:numPr>
          <w:ilvl w:val="0"/>
          <w:numId w:val="13"/>
        </w:numPr>
        <w:spacing w:before="0" w:after="80" w:line="280" w:lineRule="auto"/>
      </w:pPr>
      <w:r>
        <w:rPr>
          <w:rFonts w:ascii="Arial Unicode MS" w:hAnsi="Arial Unicode MS" w:eastAsia="Arial Unicode MS"/>
        </w:rPr>
        <w:t>“某场马拉松如何补给”的长尾搜索页面。</w:t>
      </w:r>
    </w:p>
    <w:p>
      <w:pPr>
        <w:widowControl/>
        <w:numPr>
          <w:ilvl w:val="0"/>
          <w:numId w:val="13"/>
        </w:numPr>
        <w:spacing w:before="0" w:after="80" w:line="280" w:lineRule="auto"/>
      </w:pPr>
      <w:r>
        <w:rPr>
          <w:rFonts w:ascii="Arial Unicode MS" w:hAnsi="Arial Unicode MS" w:eastAsia="Arial Unicode MS"/>
        </w:rPr>
        <w:t>免费比赛补给计算器。</w:t>
      </w:r>
    </w:p>
    <w:p>
      <w:pPr>
        <w:widowControl/>
        <w:numPr>
          <w:ilvl w:val="0"/>
          <w:numId w:val="13"/>
        </w:numPr>
        <w:spacing w:before="0" w:after="80" w:line="280" w:lineRule="auto"/>
      </w:pPr>
      <w:r>
        <w:rPr>
          <w:rFonts w:ascii="Arial Unicode MS" w:hAnsi="Arial Unicode MS" w:eastAsia="Arial Unicode MS"/>
        </w:rPr>
        <w:t>赛道与补给站数据库。</w:t>
      </w:r>
    </w:p>
    <w:p>
      <w:pPr>
        <w:widowControl/>
        <w:numPr>
          <w:ilvl w:val="0"/>
          <w:numId w:val="13"/>
        </w:numPr>
        <w:spacing w:before="0" w:after="80" w:line="280" w:lineRule="auto"/>
      </w:pPr>
      <w:r>
        <w:rPr>
          <w:rFonts w:ascii="Arial Unicode MS" w:hAnsi="Arial Unicode MS" w:eastAsia="Arial Unicode MS"/>
        </w:rPr>
        <w:t>7天完整试用。</w:t>
      </w:r>
    </w:p>
    <w:p>
      <w:pPr>
        <w:widowControl/>
        <w:numPr>
          <w:ilvl w:val="0"/>
          <w:numId w:val="13"/>
        </w:numPr>
        <w:spacing w:before="0" w:after="80" w:line="280" w:lineRule="auto"/>
      </w:pPr>
      <w:r>
        <w:rPr>
          <w:rFonts w:ascii="Arial Unicode MS" w:hAnsi="Arial Unicode MS" w:eastAsia="Arial Unicode MS"/>
        </w:rPr>
        <w:t>月度或年度订阅。</w:t>
      </w:r>
    </w:p>
    <w:p>
      <w:pPr>
        <w:widowControl/>
        <w:spacing w:before="0" w:after="120" w:line="264" w:lineRule="auto"/>
      </w:pPr>
      <w:r>
        <w:rPr>
          <w:rFonts w:ascii="Arial Unicode MS" w:hAnsi="Arial Unicode MS" w:eastAsia="Arial Unicode MS"/>
          <w:color w:val="1D2733"/>
        </w:rPr>
        <w:t>每场赛事都能形成独立搜索入口：赛事页面解决补给站信息，计算器提供即时价值，再将用户引导至试用和完整训练周期服务。这是典型的“内容SEO＋工具转化”。</w:t>
      </w:r>
    </w:p>
    <w:p>
      <w:pPr>
        <w:pStyle w:val="Heading2"/>
      </w:pPr>
      <w:r>
        <w:t>6.2 激活指标</w:t>
      </w:r>
    </w:p>
    <w:tbl>
      <w:tblPr>
        <w:tblW w:type="dxa" w:w="9360"/>
        <w:jc w:val="left"/>
        <w:tblLayout w:type="fixed"/>
        <w:tblLook w:firstColumn="1" w:firstRow="1" w:lastColumn="0" w:lastRow="0" w:noHBand="0" w:noVBand="1" w:val="04A0"/>
        <w:tblInd w:w="120" w:type="dxa"/>
      </w:tblPr>
      <w:tblGrid>
        <w:gridCol w:w="9360"/>
      </w:tblGrid>
      <w:tr>
        <w:trPr>
          <w:cantSplit/>
          <w:tblHeader w:val="true"/>
        </w:trPr>
        <w:tc>
          <w:tcPr>
            <w:tcW w:type="dxa" w:w="9360"/>
            <w:tcMar>
              <w:top w:w="160" w:type="dxa"/>
              <w:start w:w="200" w:type="dxa"/>
              <w:bottom w:w="160" w:type="dxa"/>
              <w:end w:w="200" w:type="dxa"/>
            </w:tcMar>
            <w:vAlign w:val="center"/>
            <w:shd w:fill="E7F3EF" w:val="clear"/>
          </w:tcPr>
          <w:p>
            <w:pPr>
              <w:widowControl/>
              <w:spacing w:before="0" w:after="80" w:line="264" w:lineRule="auto"/>
            </w:pPr>
            <w:r>
              <w:rPr>
                <w:rFonts w:ascii="Arial Unicode MS" w:hAnsi="Arial Unicode MS" w:eastAsia="Arial Unicode MS"/>
                <w:b/>
                <w:color w:val="2A8C74"/>
                <w:sz w:val="22"/>
              </w:rPr>
              <w:t>推荐激活定义</w:t>
            </w:r>
          </w:p>
          <w:p>
            <w:pPr>
              <w:widowControl/>
              <w:spacing w:before="0" w:after="0" w:line="276" w:lineRule="auto"/>
            </w:pPr>
            <w:r>
              <w:rPr>
                <w:rFonts w:ascii="Arial Unicode MS" w:hAnsi="Arial Unicode MS" w:eastAsia="Arial Unicode MS"/>
                <w:color w:val="1D2733"/>
                <w:sz w:val="21"/>
              </w:rPr>
              <w:t>用户成功连接训练日历，并为下一场关键训练生成第一份可执行补给计划。</w:t>
            </w:r>
          </w:p>
        </w:tc>
      </w:tr>
    </w:tbl>
    <w:p>
      <w:pPr>
        <w:widowControl/>
        <w:spacing w:before="0" w:after="40" w:line="264" w:lineRule="auto"/>
      </w:pPr>
    </w:p>
    <w:p>
      <w:pPr>
        <w:widowControl/>
        <w:numPr>
          <w:ilvl w:val="0"/>
          <w:numId w:val="13"/>
        </w:numPr>
        <w:spacing w:before="0" w:after="80" w:line="280" w:lineRule="auto"/>
      </w:pPr>
      <w:r>
        <w:rPr>
          <w:rFonts w:ascii="Arial Unicode MS" w:hAnsi="Arial Unicode MS" w:eastAsia="Arial Unicode MS"/>
        </w:rPr>
        <w:t>完成身体与运动资料；</w:t>
      </w:r>
    </w:p>
    <w:p>
      <w:pPr>
        <w:widowControl/>
        <w:numPr>
          <w:ilvl w:val="0"/>
          <w:numId w:val="13"/>
        </w:numPr>
        <w:spacing w:before="0" w:after="80" w:line="280" w:lineRule="auto"/>
      </w:pPr>
      <w:r>
        <w:rPr>
          <w:rFonts w:ascii="Arial Unicode MS" w:hAnsi="Arial Unicode MS" w:eastAsia="Arial Unicode MS"/>
        </w:rPr>
        <w:t>连接至少一个训练平台；</w:t>
      </w:r>
    </w:p>
    <w:p>
      <w:pPr>
        <w:widowControl/>
        <w:numPr>
          <w:ilvl w:val="0"/>
          <w:numId w:val="13"/>
        </w:numPr>
        <w:spacing w:before="0" w:after="80" w:line="280" w:lineRule="auto"/>
      </w:pPr>
      <w:r>
        <w:rPr>
          <w:rFonts w:ascii="Arial Unicode MS" w:hAnsi="Arial Unicode MS" w:eastAsia="Arial Unicode MS"/>
        </w:rPr>
        <w:t>识别未来7天训练；</w:t>
      </w:r>
    </w:p>
    <w:p>
      <w:pPr>
        <w:widowControl/>
        <w:numPr>
          <w:ilvl w:val="0"/>
          <w:numId w:val="13"/>
        </w:numPr>
        <w:spacing w:before="0" w:after="80" w:line="280" w:lineRule="auto"/>
      </w:pPr>
      <w:r>
        <w:rPr>
          <w:rFonts w:ascii="Arial Unicode MS" w:hAnsi="Arial Unicode MS" w:eastAsia="Arial Unicode MS"/>
        </w:rPr>
        <w:t>生成一个长距离补给计划；</w:t>
      </w:r>
    </w:p>
    <w:p>
      <w:pPr>
        <w:widowControl/>
        <w:numPr>
          <w:ilvl w:val="0"/>
          <w:numId w:val="13"/>
        </w:numPr>
        <w:spacing w:before="0" w:after="80" w:line="280" w:lineRule="auto"/>
      </w:pPr>
      <w:r>
        <w:rPr>
          <w:rFonts w:ascii="Arial Unicode MS" w:hAnsi="Arial Unicode MS" w:eastAsia="Arial Unicode MS"/>
        </w:rPr>
        <w:t>设置Fuel Kit；</w:t>
      </w:r>
    </w:p>
    <w:p>
      <w:pPr>
        <w:widowControl/>
        <w:numPr>
          <w:ilvl w:val="0"/>
          <w:numId w:val="13"/>
        </w:numPr>
        <w:spacing w:before="0" w:after="80" w:line="280" w:lineRule="auto"/>
      </w:pPr>
      <w:r>
        <w:rPr>
          <w:rFonts w:ascii="Arial Unicode MS" w:hAnsi="Arial Unicode MS" w:eastAsia="Arial Unicode MS"/>
        </w:rPr>
        <w:t>完成一次饮食或补给记录。</w:t>
      </w:r>
    </w:p>
    <w:p>
      <w:pPr>
        <w:pStyle w:val="Heading2"/>
      </w:pPr>
      <w:r>
        <w:t>6.3 留存机制</w:t>
      </w:r>
    </w:p>
    <w:p>
      <w:pPr>
        <w:widowControl/>
        <w:spacing w:before="0" w:after="120" w:line="264" w:lineRule="auto"/>
      </w:pPr>
      <w:r>
        <w:rPr>
          <w:rFonts w:ascii="Arial Unicode MS" w:hAnsi="Arial Unicode MS" w:eastAsia="Arial Unicode MS"/>
          <w:color w:val="1D2733"/>
        </w:rPr>
        <w:t>MAVR具备训练变化、饮食记录、比赛倒计时、补给演练、个人食物库和Kai上下文等多重留存循环。但目标赛事结束后可能出现明显流失，因此需要补充赛后恢复、下一赛事、基础期营养和年度训练营养报告。</w:t>
      </w:r>
    </w:p>
    <w:p>
      <w:pPr>
        <w:pStyle w:val="Heading2"/>
      </w:pPr>
      <w:r>
        <w:t>6.4 商业模式</w:t>
      </w:r>
    </w:p>
    <w:p>
      <w:pPr>
        <w:widowControl/>
        <w:spacing w:before="0" w:after="120" w:line="264" w:lineRule="auto"/>
      </w:pPr>
      <w:r>
        <w:rPr>
          <w:rFonts w:ascii="Arial Unicode MS" w:hAnsi="Arial Unicode MS" w:eastAsia="Arial Unicode MS"/>
          <w:color w:val="1D2733"/>
        </w:rPr>
        <w:t>目前公开产品以B2C订阅为主，模式简单但收入上限和获客成本压力明显。未来可扩展教练/营养师端、跑团套餐、赛事官方合作、补给品电商、API授权和人工营养服务。公开资料中尚未看到成熟专业端，这是相对Hexis的明显差距。</w:t>
      </w:r>
    </w:p>
    <w:p>
      <w:pPr>
        <w:pStyle w:val="Heading1"/>
      </w:pPr>
      <w:r>
        <w:t>7. 竞争壁垒与主要风险</w:t>
      </w:r>
    </w:p>
    <w:p>
      <w:pPr>
        <w:pStyle w:val="Heading2"/>
      </w:pPr>
      <w:r>
        <w:t>7.1 壁垒判断</w:t>
      </w:r>
    </w:p>
    <w:p>
      <w:pPr>
        <w:pStyle w:val="Heading3"/>
      </w:pPr>
      <w:r>
        <w:t>当前中等壁垒</w:t>
      </w:r>
    </w:p>
    <w:p>
      <w:pPr>
        <w:widowControl/>
        <w:numPr>
          <w:ilvl w:val="0"/>
          <w:numId w:val="14"/>
        </w:numPr>
        <w:spacing w:before="0" w:after="80" w:line="280" w:lineRule="auto"/>
      </w:pPr>
      <w:r>
        <w:rPr>
          <w:rFonts w:ascii="Arial Unicode MS" w:hAnsi="Arial Unicode MS" w:eastAsia="Arial Unicode MS"/>
        </w:rPr>
        <w:t>主流训练平台连接与活动标准化；</w:t>
      </w:r>
    </w:p>
    <w:p>
      <w:pPr>
        <w:widowControl/>
        <w:numPr>
          <w:ilvl w:val="0"/>
          <w:numId w:val="14"/>
        </w:numPr>
        <w:spacing w:before="0" w:after="80" w:line="280" w:lineRule="auto"/>
      </w:pPr>
      <w:r>
        <w:rPr>
          <w:rFonts w:ascii="Arial Unicode MS" w:hAnsi="Arial Unicode MS" w:eastAsia="Arial Unicode MS"/>
        </w:rPr>
        <w:t>训练负荷到营养计划的连续工作流；</w:t>
      </w:r>
    </w:p>
    <w:p>
      <w:pPr>
        <w:widowControl/>
        <w:numPr>
          <w:ilvl w:val="0"/>
          <w:numId w:val="14"/>
        </w:numPr>
        <w:spacing w:before="0" w:after="80" w:line="280" w:lineRule="auto"/>
      </w:pPr>
      <w:r>
        <w:rPr>
          <w:rFonts w:ascii="Arial Unicode MS" w:hAnsi="Arial Unicode MS" w:eastAsia="Arial Unicode MS"/>
        </w:rPr>
        <w:t>赛事和补给站结构化数据；</w:t>
      </w:r>
    </w:p>
    <w:p>
      <w:pPr>
        <w:widowControl/>
        <w:numPr>
          <w:ilvl w:val="0"/>
          <w:numId w:val="14"/>
        </w:numPr>
        <w:spacing w:before="0" w:after="80" w:line="280" w:lineRule="auto"/>
      </w:pPr>
      <w:r>
        <w:rPr>
          <w:rFonts w:ascii="Arial Unicode MS" w:hAnsi="Arial Unicode MS" w:eastAsia="Arial Unicode MS"/>
        </w:rPr>
        <w:t>多运动项目的补给规则；</w:t>
      </w:r>
    </w:p>
    <w:p>
      <w:pPr>
        <w:widowControl/>
        <w:numPr>
          <w:ilvl w:val="0"/>
          <w:numId w:val="14"/>
        </w:numPr>
        <w:spacing w:before="0" w:after="80" w:line="280" w:lineRule="auto"/>
      </w:pPr>
      <w:r>
        <w:rPr>
          <w:rFonts w:ascii="Arial Unicode MS" w:hAnsi="Arial Unicode MS" w:eastAsia="Arial Unicode MS"/>
        </w:rPr>
        <w:t>Fuel Kit与补给产品数据；</w:t>
      </w:r>
    </w:p>
    <w:p>
      <w:pPr>
        <w:widowControl/>
        <w:numPr>
          <w:ilvl w:val="0"/>
          <w:numId w:val="14"/>
        </w:numPr>
        <w:spacing w:before="0" w:after="80" w:line="280" w:lineRule="auto"/>
      </w:pPr>
      <w:r>
        <w:rPr>
          <w:rFonts w:ascii="Arial Unicode MS" w:hAnsi="Arial Unicode MS" w:eastAsia="Arial Unicode MS"/>
        </w:rPr>
        <w:t>日常营养与比赛计划的一体化体验。</w:t>
      </w:r>
    </w:p>
    <w:p>
      <w:pPr>
        <w:pStyle w:val="Heading3"/>
      </w:pPr>
      <w:r>
        <w:t>容易被复制的部分</w:t>
      </w:r>
    </w:p>
    <w:p>
      <w:pPr>
        <w:widowControl/>
        <w:numPr>
          <w:ilvl w:val="0"/>
          <w:numId w:val="14"/>
        </w:numPr>
        <w:spacing w:before="0" w:after="80" w:line="280" w:lineRule="auto"/>
      </w:pPr>
      <w:r>
        <w:rPr>
          <w:rFonts w:ascii="Arial Unicode MS" w:hAnsi="Arial Unicode MS" w:eastAsia="Arial Unicode MS"/>
        </w:rPr>
        <w:t>AI聊天与食谱生成；</w:t>
      </w:r>
    </w:p>
    <w:p>
      <w:pPr>
        <w:widowControl/>
        <w:numPr>
          <w:ilvl w:val="0"/>
          <w:numId w:val="14"/>
        </w:numPr>
        <w:spacing w:before="0" w:after="80" w:line="280" w:lineRule="auto"/>
      </w:pPr>
      <w:r>
        <w:rPr>
          <w:rFonts w:ascii="Arial Unicode MS" w:hAnsi="Arial Unicode MS" w:eastAsia="Arial Unicode MS"/>
        </w:rPr>
        <w:t>拍照识别食物；</w:t>
      </w:r>
    </w:p>
    <w:p>
      <w:pPr>
        <w:widowControl/>
        <w:numPr>
          <w:ilvl w:val="0"/>
          <w:numId w:val="14"/>
        </w:numPr>
        <w:spacing w:before="0" w:after="80" w:line="280" w:lineRule="auto"/>
      </w:pPr>
      <w:r>
        <w:rPr>
          <w:rFonts w:ascii="Arial Unicode MS" w:hAnsi="Arial Unicode MS" w:eastAsia="Arial Unicode MS"/>
        </w:rPr>
        <w:t>固定公式计算每小时碳水；</w:t>
      </w:r>
    </w:p>
    <w:p>
      <w:pPr>
        <w:widowControl/>
        <w:numPr>
          <w:ilvl w:val="0"/>
          <w:numId w:val="14"/>
        </w:numPr>
        <w:spacing w:before="0" w:after="80" w:line="280" w:lineRule="auto"/>
      </w:pPr>
      <w:r>
        <w:rPr>
          <w:rFonts w:ascii="Arial Unicode MS" w:hAnsi="Arial Unicode MS" w:eastAsia="Arial Unicode MS"/>
        </w:rPr>
        <w:t>常规碳水装载方案；</w:t>
      </w:r>
    </w:p>
    <w:p>
      <w:pPr>
        <w:widowControl/>
        <w:numPr>
          <w:ilvl w:val="0"/>
          <w:numId w:val="14"/>
        </w:numPr>
        <w:spacing w:before="0" w:after="80" w:line="280" w:lineRule="auto"/>
      </w:pPr>
      <w:r>
        <w:rPr>
          <w:rFonts w:ascii="Arial Unicode MS" w:hAnsi="Arial Unicode MS" w:eastAsia="Arial Unicode MS"/>
        </w:rPr>
        <w:t>糖原油箱可视化。</w:t>
      </w:r>
    </w:p>
    <w:p>
      <w:pPr>
        <w:pStyle w:val="Heading3"/>
      </w:pPr>
      <w:r>
        <w:t>潜在真正壁垒</w:t>
      </w:r>
    </w:p>
    <w:tbl>
      <w:tblPr>
        <w:tblW w:type="dxa" w:w="9360"/>
        <w:jc w:val="left"/>
        <w:tblLayout w:type="fixed"/>
        <w:tblLook w:firstColumn="1" w:firstRow="1" w:lastColumn="0" w:lastRow="0" w:noHBand="0" w:noVBand="1" w:val="04A0"/>
        <w:tblInd w:w="120" w:type="dxa"/>
      </w:tblPr>
      <w:tblGrid>
        <w:gridCol w:w="9360"/>
      </w:tblGrid>
      <w:tr>
        <w:trPr>
          <w:cantSplit/>
          <w:tblHeader w:val="true"/>
        </w:trPr>
        <w:tc>
          <w:tcPr>
            <w:tcW w:type="dxa" w:w="9360"/>
            <w:tcMar>
              <w:top w:w="160" w:type="dxa"/>
              <w:start w:w="200" w:type="dxa"/>
              <w:bottom w:w="160" w:type="dxa"/>
              <w:end w:w="200" w:type="dxa"/>
            </w:tcMar>
            <w:vAlign w:val="center"/>
            <w:shd w:fill="E7F3EF" w:val="clear"/>
          </w:tcPr>
          <w:p>
            <w:pPr>
              <w:widowControl/>
              <w:spacing w:before="0" w:after="80" w:line="264" w:lineRule="auto"/>
            </w:pPr>
            <w:r>
              <w:rPr>
                <w:rFonts w:ascii="Arial Unicode MS" w:hAnsi="Arial Unicode MS" w:eastAsia="Arial Unicode MS"/>
                <w:b/>
                <w:color w:val="2A8C74"/>
                <w:sz w:val="22"/>
              </w:rPr>
              <w:t>长期数据闭环</w:t>
            </w:r>
          </w:p>
          <w:p>
            <w:pPr>
              <w:widowControl/>
              <w:spacing w:before="0" w:after="0" w:line="276" w:lineRule="auto"/>
            </w:pPr>
            <w:r>
              <w:rPr>
                <w:rFonts w:ascii="Arial Unicode MS" w:hAnsi="Arial Unicode MS" w:eastAsia="Arial Unicode MS"/>
                <w:color w:val="1D2733"/>
                <w:sz w:val="21"/>
              </w:rPr>
              <w:t>训练计划＋实际训练＋建议摄入＋实际摄入＋天气＋肠胃反馈＋比赛表现。公开资料尚不足以证明MAVR已经形成这一学习闭环。</w:t>
            </w:r>
          </w:p>
        </w:tc>
      </w:tr>
    </w:tbl>
    <w:p>
      <w:pPr>
        <w:widowControl/>
        <w:spacing w:before="0" w:after="40" w:line="264" w:lineRule="auto"/>
      </w:pPr>
    </w:p>
    <w:p>
      <w:pPr>
        <w:pStyle w:val="Heading2"/>
      </w:pPr>
      <w:r>
        <w:t>7.2 风险矩阵</w:t>
      </w:r>
    </w:p>
    <w:tbl>
      <w:tblPr>
        <w:tblW w:type="dxa" w:w="9360"/>
        <w:tblLayout w:type="fixed"/>
        <w:tblLook w:firstColumn="1" w:firstRow="1" w:lastColumn="0" w:lastRow="0" w:noHBand="0" w:noVBand="1" w:val="04A0"/>
        <w:jc w:val="left"/>
        <w:tblInd w:w="120" w:type="dxa"/>
      </w:tblPr>
      <w:tblGrid>
        <w:gridCol w:w="2400"/>
        <w:gridCol w:w="1200"/>
        <w:gridCol w:w="5760"/>
      </w:tblGrid>
      <w:tr>
        <w:trPr>
          <w:cantSplit/>
          <w:tblHeader w:val="true"/>
          <w:cantSplit/>
        </w:trPr>
        <w:tc>
          <w:tcPr>
            <w:tcW w:type="dxa" w:w="2400"/>
            <w:tcMar>
              <w:top w:w="80" w:type="dxa"/>
              <w:start w:w="120" w:type="dxa"/>
              <w:bottom w:w="80" w:type="dxa"/>
              <w:end w:w="120" w:type="dxa"/>
            </w:tcMar>
            <w:vAlign w:val="center"/>
            <w:shd w:fill="E8EEF5" w:val="clear"/>
          </w:tcPr>
          <w:p>
            <w:pPr>
              <w:widowControl/>
              <w:spacing w:before="0" w:after="0" w:line="240" w:lineRule="auto"/>
              <w:jc w:val="center"/>
            </w:pPr>
            <w:r>
              <w:rPr>
                <w:rFonts w:ascii="Arial Unicode MS" w:hAnsi="Arial Unicode MS" w:eastAsia="Arial Unicode MS"/>
                <w:b/>
                <w:color w:val="1F4D78"/>
                <w:sz w:val="19"/>
              </w:rPr>
              <w:t>风险</w:t>
            </w:r>
          </w:p>
        </w:tc>
        <w:tc>
          <w:tcPr>
            <w:tcW w:type="dxa" w:w="1200"/>
            <w:tcMar>
              <w:top w:w="80" w:type="dxa"/>
              <w:start w:w="120" w:type="dxa"/>
              <w:bottom w:w="80" w:type="dxa"/>
              <w:end w:w="120" w:type="dxa"/>
            </w:tcMar>
            <w:vAlign w:val="center"/>
            <w:shd w:fill="E8EEF5" w:val="clear"/>
          </w:tcPr>
          <w:p>
            <w:pPr>
              <w:widowControl/>
              <w:spacing w:before="0" w:after="0" w:line="240" w:lineRule="auto"/>
              <w:jc w:val="center"/>
            </w:pPr>
            <w:r>
              <w:rPr>
                <w:rFonts w:ascii="Arial Unicode MS" w:hAnsi="Arial Unicode MS" w:eastAsia="Arial Unicode MS"/>
                <w:b/>
                <w:color w:val="1F4D78"/>
                <w:sz w:val="19"/>
              </w:rPr>
              <w:t>级别</w:t>
            </w:r>
          </w:p>
        </w:tc>
        <w:tc>
          <w:tcPr>
            <w:tcW w:type="dxa" w:w="5760"/>
            <w:tcMar>
              <w:top w:w="80" w:type="dxa"/>
              <w:start w:w="120" w:type="dxa"/>
              <w:bottom w:w="80" w:type="dxa"/>
              <w:end w:w="120" w:type="dxa"/>
            </w:tcMar>
            <w:vAlign w:val="center"/>
            <w:shd w:fill="E8EEF5" w:val="clear"/>
          </w:tcPr>
          <w:p>
            <w:pPr>
              <w:widowControl/>
              <w:spacing w:before="0" w:after="0" w:line="240" w:lineRule="auto"/>
              <w:jc w:val="center"/>
            </w:pPr>
            <w:r>
              <w:rPr>
                <w:rFonts w:ascii="Arial Unicode MS" w:hAnsi="Arial Unicode MS" w:eastAsia="Arial Unicode MS"/>
                <w:b/>
                <w:color w:val="1F4D78"/>
                <w:sz w:val="19"/>
              </w:rPr>
              <w:t>产品影响</w:t>
            </w:r>
          </w:p>
        </w:tc>
      </w:tr>
      <w:tr>
        <w:trPr>
          <w:cantSplit/>
        </w:trPr>
        <w:tc>
          <w:tcPr>
            <w:tcW w:type="dxa" w:w="24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食物记录负担</w:t>
            </w:r>
          </w:p>
        </w:tc>
        <w:tc>
          <w:tcPr>
            <w:tcW w:type="dxa" w:w="12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高</w:t>
            </w:r>
          </w:p>
        </w:tc>
        <w:tc>
          <w:tcPr>
            <w:tcW w:type="dxa" w:w="57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用户难以长期坚持，导致系统缺乏真实摄入数据</w:t>
            </w:r>
          </w:p>
        </w:tc>
      </w:tr>
      <w:tr>
        <w:trPr>
          <w:cantSplit/>
        </w:trPr>
        <w:tc>
          <w:tcPr>
            <w:tcW w:type="dxa" w:w="24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输入数据不准</w:t>
            </w:r>
          </w:p>
        </w:tc>
        <w:tc>
          <w:tcPr>
            <w:tcW w:type="dxa" w:w="12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高</w:t>
            </w:r>
          </w:p>
        </w:tc>
        <w:tc>
          <w:tcPr>
            <w:tcW w:type="dxa" w:w="57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手表消耗、食物份量和训练分类误差会层层放大</w:t>
            </w:r>
          </w:p>
        </w:tc>
      </w:tr>
      <w:tr>
        <w:trPr>
          <w:cantSplit/>
        </w:trPr>
        <w:tc>
          <w:tcPr>
            <w:tcW w:type="dxa" w:w="24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伪精确感</w:t>
            </w:r>
          </w:p>
        </w:tc>
        <w:tc>
          <w:tcPr>
            <w:tcW w:type="dxa" w:w="12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高</w:t>
            </w:r>
          </w:p>
        </w:tc>
        <w:tc>
          <w:tcPr>
            <w:tcW w:type="dxa" w:w="57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糖原百分比和克数目标可能被误认为直接测量</w:t>
            </w:r>
          </w:p>
        </w:tc>
      </w:tr>
      <w:tr>
        <w:trPr>
          <w:cantSplit/>
        </w:trPr>
        <w:tc>
          <w:tcPr>
            <w:tcW w:type="dxa" w:w="24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同步可靠性</w:t>
            </w:r>
          </w:p>
        </w:tc>
        <w:tc>
          <w:tcPr>
            <w:tcW w:type="dxa" w:w="12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高</w:t>
            </w:r>
          </w:p>
        </w:tc>
        <w:tc>
          <w:tcPr>
            <w:tcW w:type="dxa" w:w="57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重复活动、时区和接口变化直接影响核心结果</w:t>
            </w:r>
          </w:p>
        </w:tc>
      </w:tr>
      <w:tr>
        <w:trPr>
          <w:cantSplit/>
        </w:trPr>
        <w:tc>
          <w:tcPr>
            <w:tcW w:type="dxa" w:w="24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安全责任</w:t>
            </w:r>
          </w:p>
        </w:tc>
        <w:tc>
          <w:tcPr>
            <w:tcW w:type="dxa" w:w="12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高</w:t>
            </w:r>
          </w:p>
        </w:tc>
        <w:tc>
          <w:tcPr>
            <w:tcW w:type="dxa" w:w="57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补水、钠和特殊人群建议错误可能产生健康风险</w:t>
            </w:r>
          </w:p>
        </w:tc>
      </w:tr>
      <w:tr>
        <w:trPr>
          <w:cantSplit/>
        </w:trPr>
        <w:tc>
          <w:tcPr>
            <w:tcW w:type="dxa" w:w="24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饮食失调风险</w:t>
            </w:r>
          </w:p>
        </w:tc>
        <w:tc>
          <w:tcPr>
            <w:tcW w:type="dxa" w:w="12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中高</w:t>
            </w:r>
          </w:p>
        </w:tc>
        <w:tc>
          <w:tcPr>
            <w:tcW w:type="dxa" w:w="57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分数、热量和宏量追踪可能加重焦虑</w:t>
            </w:r>
          </w:p>
        </w:tc>
      </w:tr>
      <w:tr>
        <w:trPr>
          <w:cantSplit/>
        </w:trPr>
        <w:tc>
          <w:tcPr>
            <w:tcW w:type="dxa" w:w="24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用户范围过宽</w:t>
            </w:r>
          </w:p>
        </w:tc>
        <w:tc>
          <w:tcPr>
            <w:tcW w:type="dxa" w:w="12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中</w:t>
            </w:r>
          </w:p>
        </w:tc>
        <w:tc>
          <w:tcPr>
            <w:tcW w:type="dxa" w:w="57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同时覆盖多项运动可能稀释跑步专项体验</w:t>
            </w:r>
          </w:p>
        </w:tc>
      </w:tr>
      <w:tr>
        <w:trPr>
          <w:cantSplit/>
        </w:trPr>
        <w:tc>
          <w:tcPr>
            <w:tcW w:type="dxa" w:w="24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独立开发能力</w:t>
            </w:r>
          </w:p>
        </w:tc>
        <w:tc>
          <w:tcPr>
            <w:tcW w:type="dxa" w:w="12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中高</w:t>
            </w:r>
          </w:p>
        </w:tc>
        <w:tc>
          <w:tcPr>
            <w:tcW w:type="dxa" w:w="57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功能、数据和安全复杂度对团队维护能力要求高</w:t>
            </w:r>
          </w:p>
        </w:tc>
      </w:tr>
      <w:tr>
        <w:trPr>
          <w:cantSplit/>
        </w:trPr>
        <w:tc>
          <w:tcPr>
            <w:tcW w:type="dxa" w:w="24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平台覆盖</w:t>
            </w:r>
          </w:p>
        </w:tc>
        <w:tc>
          <w:tcPr>
            <w:tcW w:type="dxa" w:w="12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中</w:t>
            </w:r>
          </w:p>
        </w:tc>
        <w:tc>
          <w:tcPr>
            <w:tcW w:type="dxa" w:w="57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iPhone为主限制安卓及中国市场</w:t>
            </w:r>
          </w:p>
        </w:tc>
      </w:tr>
      <w:tr>
        <w:trPr>
          <w:cantSplit/>
        </w:trPr>
        <w:tc>
          <w:tcPr>
            <w:tcW w:type="dxa" w:w="24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缺少专业端</w:t>
            </w:r>
          </w:p>
        </w:tc>
        <w:tc>
          <w:tcPr>
            <w:tcW w:type="dxa" w:w="12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中</w:t>
            </w:r>
          </w:p>
        </w:tc>
        <w:tc>
          <w:tcPr>
            <w:tcW w:type="dxa" w:w="57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尚未形成营养师、教练和运动员协同网络</w:t>
            </w:r>
          </w:p>
        </w:tc>
      </w:tr>
      <w:tr>
        <w:trPr>
          <w:cantSplit/>
        </w:trPr>
        <w:tc>
          <w:tcPr>
            <w:tcW w:type="dxa" w:w="24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赛后流失</w:t>
            </w:r>
          </w:p>
        </w:tc>
        <w:tc>
          <w:tcPr>
            <w:tcW w:type="dxa" w:w="12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中高</w:t>
            </w:r>
          </w:p>
        </w:tc>
        <w:tc>
          <w:tcPr>
            <w:tcW w:type="dxa" w:w="57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用户完成目标赛事后可能取消订阅</w:t>
            </w:r>
          </w:p>
        </w:tc>
      </w:tr>
    </w:tbl>
    <w:p>
      <w:pPr>
        <w:widowControl/>
        <w:spacing w:before="0" w:after="40" w:line="264" w:lineRule="auto"/>
      </w:pPr>
    </w:p>
    <w:p>
      <w:pPr>
        <w:widowControl/>
        <w:spacing w:before="80" w:after="160" w:line="240" w:lineRule="auto"/>
      </w:pPr>
      <w:r>
        <w:rPr>
          <w:rFonts w:ascii="Arial Unicode MS" w:hAnsi="Arial Unicode MS" w:eastAsia="Arial Unicode MS"/>
          <w:b/>
          <w:color w:val="617080"/>
          <w:sz w:val="18"/>
        </w:rPr>
        <w:t>资料来源：</w:t>
      </w:r>
      <w:hyperlink r:id="rId17">
        <w:r>
          <w:rPr>
            <w:color w:val="2E74B5"/>
            <w:u w:val="single"/>
            <w:rFonts w:ascii="Arial Unicode MS" w:hAnsi="Arial Unicode MS" w:eastAsia="Arial Unicode MS"/>
          </w:rPr>
          <w:t>MAVR服务条款及安全边界</w:t>
        </w:r>
      </w:hyperlink>
    </w:p>
    <w:p>
      <w:pPr>
        <w:pStyle w:val="Heading1"/>
        <w:pageBreakBefore/>
      </w:pPr>
      <w:r>
        <w:t>8. 产品经理综合评分</w:t>
      </w:r>
    </w:p>
    <w:tbl>
      <w:tblPr>
        <w:tblW w:type="dxa" w:w="9360"/>
        <w:tblLayout w:type="fixed"/>
        <w:tblLook w:firstColumn="1" w:firstRow="1" w:lastColumn="0" w:lastRow="0" w:noHBand="0" w:noVBand="1" w:val="04A0"/>
        <w:jc w:val="left"/>
        <w:tblInd w:w="120" w:type="dxa"/>
      </w:tblPr>
      <w:tblGrid>
        <w:gridCol w:w="2500"/>
        <w:gridCol w:w="1400"/>
        <w:gridCol w:w="5460"/>
      </w:tblGrid>
      <w:tr>
        <w:trPr>
          <w:cantSplit/>
          <w:tblHeader w:val="true"/>
          <w:cantSplit/>
        </w:trPr>
        <w:tc>
          <w:tcPr>
            <w:tcW w:type="dxa" w:w="2500"/>
            <w:tcMar>
              <w:top w:w="80" w:type="dxa"/>
              <w:start w:w="120" w:type="dxa"/>
              <w:bottom w:w="80" w:type="dxa"/>
              <w:end w:w="120" w:type="dxa"/>
            </w:tcMar>
            <w:vAlign w:val="center"/>
            <w:shd w:fill="E8EEF5" w:val="clear"/>
          </w:tcPr>
          <w:p>
            <w:pPr>
              <w:widowControl/>
              <w:spacing w:before="0" w:after="0" w:line="240" w:lineRule="auto"/>
              <w:jc w:val="center"/>
            </w:pPr>
            <w:r>
              <w:rPr>
                <w:rFonts w:ascii="Arial Unicode MS" w:hAnsi="Arial Unicode MS" w:eastAsia="Arial Unicode MS"/>
                <w:b/>
                <w:color w:val="1F4D78"/>
                <w:sz w:val="19"/>
              </w:rPr>
              <w:t>维度</w:t>
            </w:r>
          </w:p>
        </w:tc>
        <w:tc>
          <w:tcPr>
            <w:tcW w:type="dxa" w:w="1400"/>
            <w:tcMar>
              <w:top w:w="80" w:type="dxa"/>
              <w:start w:w="120" w:type="dxa"/>
              <w:bottom w:w="80" w:type="dxa"/>
              <w:end w:w="120" w:type="dxa"/>
            </w:tcMar>
            <w:vAlign w:val="center"/>
            <w:shd w:fill="E8EEF5" w:val="clear"/>
          </w:tcPr>
          <w:p>
            <w:pPr>
              <w:widowControl/>
              <w:spacing w:before="0" w:after="0" w:line="240" w:lineRule="auto"/>
              <w:jc w:val="center"/>
            </w:pPr>
            <w:r>
              <w:rPr>
                <w:rFonts w:ascii="Arial Unicode MS" w:hAnsi="Arial Unicode MS" w:eastAsia="Arial Unicode MS"/>
                <w:b/>
                <w:color w:val="1F4D78"/>
                <w:sz w:val="19"/>
              </w:rPr>
              <w:t>评分</w:t>
            </w:r>
          </w:p>
        </w:tc>
        <w:tc>
          <w:tcPr>
            <w:tcW w:type="dxa" w:w="5460"/>
            <w:tcMar>
              <w:top w:w="80" w:type="dxa"/>
              <w:start w:w="120" w:type="dxa"/>
              <w:bottom w:w="80" w:type="dxa"/>
              <w:end w:w="120" w:type="dxa"/>
            </w:tcMar>
            <w:vAlign w:val="center"/>
            <w:shd w:fill="E8EEF5" w:val="clear"/>
          </w:tcPr>
          <w:p>
            <w:pPr>
              <w:widowControl/>
              <w:spacing w:before="0" w:after="0" w:line="240" w:lineRule="auto"/>
              <w:jc w:val="center"/>
            </w:pPr>
            <w:r>
              <w:rPr>
                <w:rFonts w:ascii="Arial Unicode MS" w:hAnsi="Arial Unicode MS" w:eastAsia="Arial Unicode MS"/>
                <w:b/>
                <w:color w:val="1F4D78"/>
                <w:sz w:val="19"/>
              </w:rPr>
              <w:t>判断</w:t>
            </w:r>
          </w:p>
        </w:tc>
      </w:tr>
      <w:tr>
        <w:trPr>
          <w:cantSplit/>
        </w:trPr>
        <w:tc>
          <w:tcPr>
            <w:tcW w:type="dxa" w:w="25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用户痛点强度</w:t>
            </w:r>
          </w:p>
        </w:tc>
        <w:tc>
          <w:tcPr>
            <w:tcW w:type="dxa" w:w="1400"/>
            <w:tcMar>
              <w:top w:w="80" w:type="dxa"/>
              <w:start w:w="120" w:type="dxa"/>
              <w:bottom w:w="80" w:type="dxa"/>
              <w:end w:w="120" w:type="dxa"/>
            </w:tcMar>
            <w:vAlign w:val="center"/>
          </w:tcPr>
          <w:p>
            <w:pPr>
              <w:widowControl/>
              <w:spacing w:before="0" w:after="0" w:line="252" w:lineRule="auto"/>
              <w:jc w:val="center"/>
            </w:pPr>
            <w:r>
              <w:rPr>
                <w:rFonts w:ascii="Arial Unicode MS" w:hAnsi="Arial Unicode MS" w:eastAsia="Arial Unicode MS"/>
                <w:b/>
                <w:color w:val="2A8C74"/>
                <w:sz w:val="18"/>
              </w:rPr>
              <w:t>9/10</w:t>
            </w:r>
          </w:p>
        </w:tc>
        <w:tc>
          <w:tcPr>
            <w:tcW w:type="dxa" w:w="54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长距离补给属于高失败成本、高焦虑场景</w:t>
            </w:r>
          </w:p>
        </w:tc>
      </w:tr>
      <w:tr>
        <w:trPr>
          <w:cantSplit/>
        </w:trPr>
        <w:tc>
          <w:tcPr>
            <w:tcW w:type="dxa" w:w="25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产品定位清晰度</w:t>
            </w:r>
          </w:p>
        </w:tc>
        <w:tc>
          <w:tcPr>
            <w:tcW w:type="dxa" w:w="1400"/>
            <w:shd w:fill="FAFBFC" w:val="clear"/>
            <w:tcMar>
              <w:top w:w="80" w:type="dxa"/>
              <w:start w:w="120" w:type="dxa"/>
              <w:bottom w:w="80" w:type="dxa"/>
              <w:end w:w="120" w:type="dxa"/>
            </w:tcMar>
            <w:vAlign w:val="center"/>
          </w:tcPr>
          <w:p>
            <w:pPr>
              <w:widowControl/>
              <w:spacing w:before="0" w:after="0" w:line="252" w:lineRule="auto"/>
              <w:jc w:val="center"/>
            </w:pPr>
            <w:r>
              <w:rPr>
                <w:rFonts w:ascii="Arial Unicode MS" w:hAnsi="Arial Unicode MS" w:eastAsia="Arial Unicode MS"/>
                <w:b/>
                <w:color w:val="2A8C74"/>
                <w:sz w:val="18"/>
              </w:rPr>
              <w:t>9/10</w:t>
            </w:r>
          </w:p>
        </w:tc>
        <w:tc>
          <w:tcPr>
            <w:tcW w:type="dxa" w:w="54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与普通卡路里记录App差异明确</w:t>
            </w:r>
          </w:p>
        </w:tc>
      </w:tr>
      <w:tr>
        <w:trPr>
          <w:cantSplit/>
        </w:trPr>
        <w:tc>
          <w:tcPr>
            <w:tcW w:type="dxa" w:w="25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功能完整度</w:t>
            </w:r>
          </w:p>
        </w:tc>
        <w:tc>
          <w:tcPr>
            <w:tcW w:type="dxa" w:w="1400"/>
            <w:tcMar>
              <w:top w:w="80" w:type="dxa"/>
              <w:start w:w="120" w:type="dxa"/>
              <w:bottom w:w="80" w:type="dxa"/>
              <w:end w:w="120" w:type="dxa"/>
            </w:tcMar>
            <w:vAlign w:val="center"/>
          </w:tcPr>
          <w:p>
            <w:pPr>
              <w:widowControl/>
              <w:spacing w:before="0" w:after="0" w:line="252" w:lineRule="auto"/>
              <w:jc w:val="center"/>
            </w:pPr>
            <w:r>
              <w:rPr>
                <w:rFonts w:ascii="Arial Unicode MS" w:hAnsi="Arial Unicode MS" w:eastAsia="Arial Unicode MS"/>
                <w:b/>
                <w:color w:val="2A8C74"/>
                <w:sz w:val="18"/>
              </w:rPr>
              <w:t>8.5/10</w:t>
            </w:r>
          </w:p>
        </w:tc>
        <w:tc>
          <w:tcPr>
            <w:tcW w:type="dxa" w:w="54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覆盖训练、日常营养、比赛和AI记录</w:t>
            </w:r>
          </w:p>
        </w:tc>
      </w:tr>
      <w:tr>
        <w:trPr>
          <w:cantSplit/>
        </w:trPr>
        <w:tc>
          <w:tcPr>
            <w:tcW w:type="dxa" w:w="25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即时价值</w:t>
            </w:r>
          </w:p>
        </w:tc>
        <w:tc>
          <w:tcPr>
            <w:tcW w:type="dxa" w:w="1400"/>
            <w:shd w:fill="FAFBFC" w:val="clear"/>
            <w:tcMar>
              <w:top w:w="80" w:type="dxa"/>
              <w:start w:w="120" w:type="dxa"/>
              <w:bottom w:w="80" w:type="dxa"/>
              <w:end w:w="120" w:type="dxa"/>
            </w:tcMar>
            <w:vAlign w:val="center"/>
          </w:tcPr>
          <w:p>
            <w:pPr>
              <w:widowControl/>
              <w:spacing w:before="0" w:after="0" w:line="252" w:lineRule="auto"/>
              <w:jc w:val="center"/>
            </w:pPr>
            <w:r>
              <w:rPr>
                <w:rFonts w:ascii="Arial Unicode MS" w:hAnsi="Arial Unicode MS" w:eastAsia="Arial Unicode MS"/>
                <w:b/>
                <w:color w:val="2A8C74"/>
                <w:sz w:val="18"/>
              </w:rPr>
              <w:t>8/10</w:t>
            </w:r>
          </w:p>
        </w:tc>
        <w:tc>
          <w:tcPr>
            <w:tcW w:type="dxa" w:w="54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生成长跑或比赛计划即可产生价值</w:t>
            </w:r>
          </w:p>
        </w:tc>
      </w:tr>
      <w:tr>
        <w:trPr>
          <w:cantSplit/>
        </w:trPr>
        <w:tc>
          <w:tcPr>
            <w:tcW w:type="dxa" w:w="25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日常使用摩擦</w:t>
            </w:r>
          </w:p>
        </w:tc>
        <w:tc>
          <w:tcPr>
            <w:tcW w:type="dxa" w:w="1400"/>
            <w:tcMar>
              <w:top w:w="80" w:type="dxa"/>
              <w:start w:w="120" w:type="dxa"/>
              <w:bottom w:w="80" w:type="dxa"/>
              <w:end w:w="120" w:type="dxa"/>
            </w:tcMar>
            <w:vAlign w:val="center"/>
          </w:tcPr>
          <w:p>
            <w:pPr>
              <w:widowControl/>
              <w:spacing w:before="0" w:after="0" w:line="252" w:lineRule="auto"/>
              <w:jc w:val="center"/>
            </w:pPr>
            <w:r>
              <w:rPr>
                <w:rFonts w:ascii="Arial Unicode MS" w:hAnsi="Arial Unicode MS" w:eastAsia="Arial Unicode MS"/>
                <w:b/>
                <w:color w:val="7A5A00"/>
                <w:sz w:val="18"/>
              </w:rPr>
              <w:t>6/10</w:t>
            </w:r>
          </w:p>
        </w:tc>
        <w:tc>
          <w:tcPr>
            <w:tcW w:type="dxa" w:w="54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饮食记录和资料输入仍然偏重</w:t>
            </w:r>
          </w:p>
        </w:tc>
      </w:tr>
      <w:tr>
        <w:trPr>
          <w:cantSplit/>
        </w:trPr>
        <w:tc>
          <w:tcPr>
            <w:tcW w:type="dxa" w:w="25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个性化深度</w:t>
            </w:r>
          </w:p>
        </w:tc>
        <w:tc>
          <w:tcPr>
            <w:tcW w:type="dxa" w:w="1400"/>
            <w:shd w:fill="FAFBFC" w:val="clear"/>
            <w:tcMar>
              <w:top w:w="80" w:type="dxa"/>
              <w:start w:w="120" w:type="dxa"/>
              <w:bottom w:w="80" w:type="dxa"/>
              <w:end w:w="120" w:type="dxa"/>
            </w:tcMar>
            <w:vAlign w:val="center"/>
          </w:tcPr>
          <w:p>
            <w:pPr>
              <w:widowControl/>
              <w:spacing w:before="0" w:after="0" w:line="252" w:lineRule="auto"/>
              <w:jc w:val="center"/>
            </w:pPr>
            <w:r>
              <w:rPr>
                <w:rFonts w:ascii="Arial Unicode MS" w:hAnsi="Arial Unicode MS" w:eastAsia="Arial Unicode MS"/>
                <w:b/>
                <w:color w:val="2A8C74"/>
                <w:sz w:val="18"/>
              </w:rPr>
              <w:t>7/10</w:t>
            </w:r>
          </w:p>
        </w:tc>
        <w:tc>
          <w:tcPr>
            <w:tcW w:type="dxa" w:w="54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输入丰富，但主要仍依赖规则与估算</w:t>
            </w:r>
          </w:p>
        </w:tc>
      </w:tr>
      <w:tr>
        <w:trPr>
          <w:cantSplit/>
        </w:trPr>
        <w:tc>
          <w:tcPr>
            <w:tcW w:type="dxa" w:w="25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科学可信度</w:t>
            </w:r>
          </w:p>
        </w:tc>
        <w:tc>
          <w:tcPr>
            <w:tcW w:type="dxa" w:w="1400"/>
            <w:tcMar>
              <w:top w:w="80" w:type="dxa"/>
              <w:start w:w="120" w:type="dxa"/>
              <w:bottom w:w="80" w:type="dxa"/>
              <w:end w:w="120" w:type="dxa"/>
            </w:tcMar>
            <w:vAlign w:val="center"/>
          </w:tcPr>
          <w:p>
            <w:pPr>
              <w:widowControl/>
              <w:spacing w:before="0" w:after="0" w:line="252" w:lineRule="auto"/>
              <w:jc w:val="center"/>
            </w:pPr>
            <w:r>
              <w:rPr>
                <w:rFonts w:ascii="Arial Unicode MS" w:hAnsi="Arial Unicode MS" w:eastAsia="Arial Unicode MS"/>
                <w:b/>
                <w:color w:val="7A5A00"/>
                <w:sz w:val="18"/>
              </w:rPr>
              <w:t>6.5/10</w:t>
            </w:r>
          </w:p>
        </w:tc>
        <w:tc>
          <w:tcPr>
            <w:tcW w:type="dxa" w:w="54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有循证框架，缺乏公开产品有效性验证</w:t>
            </w:r>
          </w:p>
        </w:tc>
      </w:tr>
      <w:tr>
        <w:trPr>
          <w:cantSplit/>
        </w:trPr>
        <w:tc>
          <w:tcPr>
            <w:tcW w:type="dxa" w:w="25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数据壁垒</w:t>
            </w:r>
          </w:p>
        </w:tc>
        <w:tc>
          <w:tcPr>
            <w:tcW w:type="dxa" w:w="1400"/>
            <w:shd w:fill="FAFBFC" w:val="clear"/>
            <w:tcMar>
              <w:top w:w="80" w:type="dxa"/>
              <w:start w:w="120" w:type="dxa"/>
              <w:bottom w:w="80" w:type="dxa"/>
              <w:end w:w="120" w:type="dxa"/>
            </w:tcMar>
            <w:vAlign w:val="center"/>
          </w:tcPr>
          <w:p>
            <w:pPr>
              <w:widowControl/>
              <w:spacing w:before="0" w:after="0" w:line="252" w:lineRule="auto"/>
              <w:jc w:val="center"/>
            </w:pPr>
            <w:r>
              <w:rPr>
                <w:rFonts w:ascii="Arial Unicode MS" w:hAnsi="Arial Unicode MS" w:eastAsia="Arial Unicode MS"/>
                <w:b/>
                <w:color w:val="7A5A00"/>
                <w:sz w:val="18"/>
              </w:rPr>
              <w:t>6.5/10</w:t>
            </w:r>
          </w:p>
        </w:tc>
        <w:tc>
          <w:tcPr>
            <w:tcW w:type="dxa" w:w="54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赛道数据有特色，个体学习闭环尚不明确</w:t>
            </w:r>
          </w:p>
        </w:tc>
      </w:tr>
      <w:tr>
        <w:trPr>
          <w:cantSplit/>
        </w:trPr>
        <w:tc>
          <w:tcPr>
            <w:tcW w:type="dxa" w:w="25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商业化成熟度</w:t>
            </w:r>
          </w:p>
        </w:tc>
        <w:tc>
          <w:tcPr>
            <w:tcW w:type="dxa" w:w="1400"/>
            <w:tcMar>
              <w:top w:w="80" w:type="dxa"/>
              <w:start w:w="120" w:type="dxa"/>
              <w:bottom w:w="80" w:type="dxa"/>
              <w:end w:w="120" w:type="dxa"/>
            </w:tcMar>
            <w:vAlign w:val="center"/>
          </w:tcPr>
          <w:p>
            <w:pPr>
              <w:widowControl/>
              <w:spacing w:before="0" w:after="0" w:line="252" w:lineRule="auto"/>
              <w:jc w:val="center"/>
            </w:pPr>
            <w:r>
              <w:rPr>
                <w:rFonts w:ascii="Arial Unicode MS" w:hAnsi="Arial Unicode MS" w:eastAsia="Arial Unicode MS"/>
                <w:b/>
                <w:color w:val="7A5A00"/>
                <w:sz w:val="18"/>
              </w:rPr>
              <w:t>5.5/10</w:t>
            </w:r>
          </w:p>
        </w:tc>
        <w:tc>
          <w:tcPr>
            <w:tcW w:type="dxa" w:w="54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主要为早期B2C订阅</w:t>
            </w:r>
          </w:p>
        </w:tc>
      </w:tr>
      <w:tr>
        <w:trPr>
          <w:cantSplit/>
        </w:trPr>
        <w:tc>
          <w:tcPr>
            <w:tcW w:type="dxa" w:w="25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中国市场适配</w:t>
            </w:r>
          </w:p>
        </w:tc>
        <w:tc>
          <w:tcPr>
            <w:tcW w:type="dxa" w:w="1400"/>
            <w:shd w:fill="FAFBFC" w:val="clear"/>
            <w:tcMar>
              <w:top w:w="80" w:type="dxa"/>
              <w:start w:w="120" w:type="dxa"/>
              <w:bottom w:w="80" w:type="dxa"/>
              <w:end w:w="120" w:type="dxa"/>
            </w:tcMar>
            <w:vAlign w:val="center"/>
          </w:tcPr>
          <w:p>
            <w:pPr>
              <w:widowControl/>
              <w:spacing w:before="0" w:after="0" w:line="252" w:lineRule="auto"/>
              <w:jc w:val="center"/>
            </w:pPr>
            <w:r>
              <w:rPr>
                <w:rFonts w:ascii="Arial Unicode MS" w:hAnsi="Arial Unicode MS" w:eastAsia="Arial Unicode MS"/>
                <w:b/>
                <w:color w:val="7A5A00"/>
                <w:sz w:val="18"/>
              </w:rPr>
              <w:t>3/10</w:t>
            </w:r>
          </w:p>
        </w:tc>
        <w:tc>
          <w:tcPr>
            <w:tcW w:type="dxa" w:w="54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食物、设备、赛事、支付和语言均需重做</w:t>
            </w:r>
          </w:p>
        </w:tc>
      </w:tr>
      <w:tr>
        <w:trPr>
          <w:cantSplit/>
        </w:trPr>
        <w:tc>
          <w:tcPr>
            <w:tcW w:type="dxa" w:w="25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综合竞争力</w:t>
            </w:r>
          </w:p>
        </w:tc>
        <w:tc>
          <w:tcPr>
            <w:tcW w:type="dxa" w:w="1400"/>
            <w:tcMar>
              <w:top w:w="80" w:type="dxa"/>
              <w:start w:w="120" w:type="dxa"/>
              <w:bottom w:w="80" w:type="dxa"/>
              <w:end w:w="120" w:type="dxa"/>
            </w:tcMar>
            <w:vAlign w:val="center"/>
          </w:tcPr>
          <w:p>
            <w:pPr>
              <w:widowControl/>
              <w:spacing w:before="0" w:after="0" w:line="252" w:lineRule="auto"/>
              <w:jc w:val="center"/>
            </w:pPr>
            <w:r>
              <w:rPr>
                <w:rFonts w:ascii="Arial Unicode MS" w:hAnsi="Arial Unicode MS" w:eastAsia="Arial Unicode MS"/>
                <w:b/>
                <w:color w:val="2A8C74"/>
                <w:sz w:val="18"/>
              </w:rPr>
              <w:t>7.5/10</w:t>
            </w:r>
          </w:p>
        </w:tc>
        <w:tc>
          <w:tcPr>
            <w:tcW w:type="dxa" w:w="54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方向与功能领先，成熟度和信任体系待验证</w:t>
            </w:r>
          </w:p>
        </w:tc>
      </w:tr>
    </w:tbl>
    <w:p>
      <w:pPr>
        <w:widowControl/>
        <w:spacing w:before="0" w:after="40" w:line="264" w:lineRule="auto"/>
      </w:pPr>
    </w:p>
    <w:p>
      <w:pPr>
        <w:widowControl/>
        <w:spacing w:before="0" w:after="120" w:line="264" w:lineRule="auto"/>
      </w:pPr>
      <w:r>
        <w:rPr>
          <w:rFonts w:ascii="Arial Unicode MS" w:hAnsi="Arial Unicode MS" w:eastAsia="Arial Unicode MS"/>
          <w:color w:val="617080"/>
        </w:rPr>
        <w:t>评分属于基于公开产品功能的定性判断，不代表真实用户满意度、留存、收入或科学有效性。</w:t>
      </w:r>
    </w:p>
    <w:p>
      <w:pPr>
        <w:pStyle w:val="Heading1"/>
        <w:pageBreakBefore/>
      </w:pPr>
      <w:r>
        <w:t>9. 对中国AI运动营养师的启示</w:t>
      </w:r>
    </w:p>
    <w:p>
      <w:pPr>
        <w:widowControl/>
        <w:spacing w:before="0" w:after="120" w:line="264" w:lineRule="auto"/>
      </w:pPr>
      <w:r>
        <w:rPr>
          <w:rFonts w:ascii="Arial Unicode MS" w:hAnsi="Arial Unicode MS" w:eastAsia="Arial Unicode MS"/>
          <w:color w:val="1D2733"/>
        </w:rPr>
        <w:t>不建议直接照搬MAVR全部功能。中国产品应先验证关键训练补给，再逐步建立本地食物、赛事和专业服务壁垒。</w:t>
      </w:r>
    </w:p>
    <w:tbl>
      <w:tblPr>
        <w:tblW w:type="dxa" w:w="9360"/>
        <w:tblLayout w:type="fixed"/>
        <w:tblLook w:firstColumn="1" w:firstRow="1" w:lastColumn="0" w:lastRow="0" w:noHBand="0" w:noVBand="1" w:val="04A0"/>
        <w:jc w:val="left"/>
        <w:tblInd w:w="120" w:type="dxa"/>
      </w:tblPr>
      <w:tblGrid>
        <w:gridCol w:w="2100"/>
        <w:gridCol w:w="4460"/>
        <w:gridCol w:w="2800"/>
      </w:tblGrid>
      <w:tr>
        <w:trPr>
          <w:cantSplit/>
          <w:tblHeader w:val="true"/>
          <w:cantSplit/>
        </w:trPr>
        <w:tc>
          <w:tcPr>
            <w:tcW w:type="dxa" w:w="2100"/>
            <w:tcMar>
              <w:top w:w="80" w:type="dxa"/>
              <w:start w:w="120" w:type="dxa"/>
              <w:bottom w:w="80" w:type="dxa"/>
              <w:end w:w="120" w:type="dxa"/>
            </w:tcMar>
            <w:vAlign w:val="center"/>
            <w:shd w:fill="E8EEF5" w:val="clear"/>
          </w:tcPr>
          <w:p>
            <w:pPr>
              <w:widowControl/>
              <w:spacing w:before="0" w:after="0" w:line="240" w:lineRule="auto"/>
              <w:jc w:val="center"/>
            </w:pPr>
            <w:r>
              <w:rPr>
                <w:rFonts w:ascii="Arial Unicode MS" w:hAnsi="Arial Unicode MS" w:eastAsia="Arial Unicode MS"/>
                <w:b/>
                <w:color w:val="1F4D78"/>
                <w:sz w:val="19"/>
              </w:rPr>
              <w:t>阶段</w:t>
            </w:r>
          </w:p>
        </w:tc>
        <w:tc>
          <w:tcPr>
            <w:tcW w:type="dxa" w:w="4460"/>
            <w:tcMar>
              <w:top w:w="80" w:type="dxa"/>
              <w:start w:w="120" w:type="dxa"/>
              <w:bottom w:w="80" w:type="dxa"/>
              <w:end w:w="120" w:type="dxa"/>
            </w:tcMar>
            <w:vAlign w:val="center"/>
            <w:shd w:fill="E8EEF5" w:val="clear"/>
          </w:tcPr>
          <w:p>
            <w:pPr>
              <w:widowControl/>
              <w:spacing w:before="0" w:after="0" w:line="240" w:lineRule="auto"/>
              <w:jc w:val="center"/>
            </w:pPr>
            <w:r>
              <w:rPr>
                <w:rFonts w:ascii="Arial Unicode MS" w:hAnsi="Arial Unicode MS" w:eastAsia="Arial Unicode MS"/>
                <w:b/>
                <w:color w:val="1F4D78"/>
                <w:sz w:val="19"/>
              </w:rPr>
              <w:t>核心能力</w:t>
            </w:r>
          </w:p>
        </w:tc>
        <w:tc>
          <w:tcPr>
            <w:tcW w:type="dxa" w:w="2800"/>
            <w:tcMar>
              <w:top w:w="80" w:type="dxa"/>
              <w:start w:w="120" w:type="dxa"/>
              <w:bottom w:w="80" w:type="dxa"/>
              <w:end w:w="120" w:type="dxa"/>
            </w:tcMar>
            <w:vAlign w:val="center"/>
            <w:shd w:fill="E8EEF5" w:val="clear"/>
          </w:tcPr>
          <w:p>
            <w:pPr>
              <w:widowControl/>
              <w:spacing w:before="0" w:after="0" w:line="240" w:lineRule="auto"/>
              <w:jc w:val="center"/>
            </w:pPr>
            <w:r>
              <w:rPr>
                <w:rFonts w:ascii="Arial Unicode MS" w:hAnsi="Arial Unicode MS" w:eastAsia="Arial Unicode MS"/>
                <w:b/>
                <w:color w:val="1F4D78"/>
                <w:sz w:val="19"/>
              </w:rPr>
              <w:t>关键验证指标</w:t>
            </w:r>
          </w:p>
        </w:tc>
      </w:tr>
      <w:tr>
        <w:trPr>
          <w:cantSplit/>
        </w:trPr>
        <w:tc>
          <w:tcPr>
            <w:tcW w:type="dxa" w:w="21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阶段一：跑者补给MVP</w:t>
            </w:r>
          </w:p>
        </w:tc>
        <w:tc>
          <w:tcPr>
            <w:tcW w:type="dxa" w:w="44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训练日历同步；识别长跑和重点训练；训练前中后碳水；国内补给品换算；马拉松比赛计算器；重点赛事覆盖</w:t>
            </w:r>
          </w:p>
        </w:tc>
        <w:tc>
          <w:tcPr>
            <w:tcW w:type="dxa" w:w="28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用户是否按计划完成一场关键训练</w:t>
            </w:r>
          </w:p>
        </w:tc>
      </w:tr>
      <w:tr>
        <w:trPr>
          <w:cantSplit/>
        </w:trPr>
        <w:tc>
          <w:tcPr>
            <w:tcW w:type="dxa" w:w="21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阶段二：反馈闭环</w:t>
            </w:r>
          </w:p>
        </w:tc>
        <w:tc>
          <w:tcPr>
            <w:tcW w:type="dxa" w:w="44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中国食物与外卖识别；家庭汗率测试；肠胃训练；天气调整；女性周期；恢复评价；胃肠反应记录</w:t>
            </w:r>
          </w:p>
        </w:tc>
        <w:tc>
          <w:tcPr>
            <w:tcW w:type="dxa" w:w="28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关键训练补给执行率与耐受改善率</w:t>
            </w:r>
          </w:p>
        </w:tc>
      </w:tr>
      <w:tr>
        <w:trPr>
          <w:cantSplit/>
        </w:trPr>
        <w:tc>
          <w:tcPr>
            <w:tcW w:type="dxa" w:w="21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阶段三：专业壁垒</w:t>
            </w:r>
          </w:p>
        </w:tc>
        <w:tc>
          <w:tcPr>
            <w:tcW w:type="dxa" w:w="44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教练端；营养师端；跑团管理；赛事合作；补给电商；基于长期执行和表现数据的个体校正</w:t>
            </w:r>
          </w:p>
        </w:tc>
        <w:tc>
          <w:tcPr>
            <w:tcW w:type="dxa" w:w="28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持续付费、教练管理规模与个体模型提升</w:t>
            </w:r>
          </w:p>
        </w:tc>
      </w:tr>
    </w:tbl>
    <w:p>
      <w:pPr>
        <w:widowControl/>
        <w:spacing w:before="0" w:after="40" w:line="264" w:lineRule="auto"/>
      </w:pPr>
    </w:p>
    <w:p>
      <w:pPr>
        <w:pStyle w:val="Heading2"/>
      </w:pPr>
      <w:r>
        <w:t>9.1 中国市场的本地化重点</w:t>
      </w:r>
    </w:p>
    <w:p>
      <w:pPr>
        <w:widowControl/>
        <w:numPr>
          <w:ilvl w:val="0"/>
          <w:numId w:val="15"/>
        </w:numPr>
        <w:spacing w:before="0" w:after="80" w:line="280" w:lineRule="auto"/>
      </w:pPr>
      <w:r>
        <w:rPr>
          <w:rFonts w:ascii="Arial Unicode MS" w:hAnsi="Arial Unicode MS" w:eastAsia="Arial Unicode MS"/>
        </w:rPr>
        <w:t>中国食物、混合菜、外卖、便利店和家庭餐桌数据；</w:t>
      </w:r>
    </w:p>
    <w:p>
      <w:pPr>
        <w:widowControl/>
        <w:numPr>
          <w:ilvl w:val="0"/>
          <w:numId w:val="15"/>
        </w:numPr>
        <w:spacing w:before="0" w:after="80" w:line="280" w:lineRule="auto"/>
      </w:pPr>
      <w:r>
        <w:rPr>
          <w:rFonts w:ascii="Arial Unicode MS" w:hAnsi="Arial Unicode MS" w:eastAsia="Arial Unicode MS"/>
        </w:rPr>
        <w:t>国产能量胶、运动饮料、盐丸和补给规格；</w:t>
      </w:r>
    </w:p>
    <w:p>
      <w:pPr>
        <w:widowControl/>
        <w:numPr>
          <w:ilvl w:val="0"/>
          <w:numId w:val="15"/>
        </w:numPr>
        <w:spacing w:before="0" w:after="80" w:line="280" w:lineRule="auto"/>
      </w:pPr>
      <w:r>
        <w:rPr>
          <w:rFonts w:ascii="Arial Unicode MS" w:hAnsi="Arial Unicode MS" w:eastAsia="Arial Unicode MS"/>
        </w:rPr>
        <w:t>华为、COROS、Keep、咕咚等本地运动生态；</w:t>
      </w:r>
    </w:p>
    <w:p>
      <w:pPr>
        <w:widowControl/>
        <w:numPr>
          <w:ilvl w:val="0"/>
          <w:numId w:val="15"/>
        </w:numPr>
        <w:spacing w:before="0" w:after="80" w:line="280" w:lineRule="auto"/>
      </w:pPr>
      <w:r>
        <w:rPr>
          <w:rFonts w:ascii="Arial Unicode MS" w:hAnsi="Arial Unicode MS" w:eastAsia="Arial Unicode MS"/>
        </w:rPr>
        <w:t>国内马拉松路线、补给站和赛事天气；</w:t>
      </w:r>
    </w:p>
    <w:p>
      <w:pPr>
        <w:widowControl/>
        <w:numPr>
          <w:ilvl w:val="0"/>
          <w:numId w:val="15"/>
        </w:numPr>
        <w:spacing w:before="0" w:after="80" w:line="280" w:lineRule="auto"/>
      </w:pPr>
      <w:r>
        <w:rPr>
          <w:rFonts w:ascii="Arial Unicode MS" w:hAnsi="Arial Unicode MS" w:eastAsia="Arial Unicode MS"/>
        </w:rPr>
        <w:t>微信、支付宝、安卓与国产系统；</w:t>
      </w:r>
    </w:p>
    <w:p>
      <w:pPr>
        <w:widowControl/>
        <w:numPr>
          <w:ilvl w:val="0"/>
          <w:numId w:val="15"/>
        </w:numPr>
        <w:spacing w:before="0" w:after="80" w:line="280" w:lineRule="auto"/>
      </w:pPr>
      <w:r>
        <w:rPr>
          <w:rFonts w:ascii="Arial Unicode MS" w:hAnsi="Arial Unicode MS" w:eastAsia="Arial Unicode MS"/>
        </w:rPr>
        <w:t>高温高湿、胃肠不适、女性周期和中国饮食习惯；</w:t>
      </w:r>
    </w:p>
    <w:p>
      <w:pPr>
        <w:widowControl/>
        <w:numPr>
          <w:ilvl w:val="0"/>
          <w:numId w:val="15"/>
        </w:numPr>
        <w:spacing w:before="0" w:after="80" w:line="280" w:lineRule="auto"/>
      </w:pPr>
      <w:r>
        <w:rPr>
          <w:rFonts w:ascii="Arial Unicode MS" w:hAnsi="Arial Unicode MS" w:eastAsia="Arial Unicode MS"/>
        </w:rPr>
        <w:t>教练、营养师和跑团协同。</w:t>
      </w:r>
    </w:p>
    <w:tbl>
      <w:tblPr>
        <w:tblW w:type="dxa" w:w="9360"/>
        <w:jc w:val="left"/>
        <w:tblLayout w:type="fixed"/>
        <w:tblLook w:firstColumn="1" w:firstRow="1" w:lastColumn="0" w:lastRow="0" w:noHBand="0" w:noVBand="1" w:val="04A0"/>
        <w:tblInd w:w="120" w:type="dxa"/>
      </w:tblPr>
      <w:tblGrid>
        <w:gridCol w:w="9360"/>
      </w:tblGrid>
      <w:tr>
        <w:trPr>
          <w:cantSplit/>
          <w:tblHeader w:val="true"/>
        </w:trPr>
        <w:tc>
          <w:tcPr>
            <w:tcW w:type="dxa" w:w="9360"/>
            <w:tcMar>
              <w:top w:w="160" w:type="dxa"/>
              <w:start w:w="200" w:type="dxa"/>
              <w:bottom w:w="160" w:type="dxa"/>
              <w:end w:w="200" w:type="dxa"/>
            </w:tcMar>
            <w:vAlign w:val="center"/>
            <w:shd w:fill="E7F3EF" w:val="clear"/>
          </w:tcPr>
          <w:p>
            <w:pPr>
              <w:widowControl/>
              <w:spacing w:before="0" w:after="80" w:line="264" w:lineRule="auto"/>
            </w:pPr>
            <w:r>
              <w:rPr>
                <w:rFonts w:ascii="Arial Unicode MS" w:hAnsi="Arial Unicode MS" w:eastAsia="Arial Unicode MS"/>
                <w:b/>
                <w:color w:val="2A8C74"/>
                <w:sz w:val="22"/>
              </w:rPr>
              <w:t>最终启示</w:t>
            </w:r>
          </w:p>
          <w:p>
            <w:pPr>
              <w:widowControl/>
              <w:spacing w:before="0" w:after="0" w:line="276" w:lineRule="auto"/>
            </w:pPr>
            <w:r>
              <w:rPr>
                <w:rFonts w:ascii="Arial Unicode MS" w:hAnsi="Arial Unicode MS" w:eastAsia="Arial Unicode MS"/>
                <w:color w:val="1D2733"/>
                <w:sz w:val="21"/>
              </w:rPr>
              <w:t>不要要求用户学习复杂的运动营养知识。产品应根据下一场训练，直接告诉用户什么时候吃、吃多少、带什么、怎么验证，以及为什么。</w:t>
            </w:r>
          </w:p>
        </w:tc>
      </w:tr>
    </w:tbl>
    <w:p>
      <w:pPr>
        <w:widowControl/>
        <w:spacing w:before="0" w:after="40" w:line="264" w:lineRule="auto"/>
      </w:pPr>
    </w:p>
    <w:p>
      <w:pPr>
        <w:pStyle w:val="Heading1"/>
        <w:pageBreakBefore/>
      </w:pPr>
      <w:r>
        <w:t>10. 建议的核心指标体系</w:t>
      </w:r>
    </w:p>
    <w:p>
      <w:pPr>
        <w:pStyle w:val="Heading2"/>
      </w:pPr>
      <w:r>
        <w:t>10.1 北极星指标</w:t>
      </w:r>
    </w:p>
    <w:tbl>
      <w:tblPr>
        <w:tblW w:type="dxa" w:w="9360"/>
        <w:jc w:val="left"/>
        <w:tblLayout w:type="fixed"/>
        <w:tblLook w:firstColumn="1" w:firstRow="1" w:lastColumn="0" w:lastRow="0" w:noHBand="0" w:noVBand="1" w:val="04A0"/>
        <w:tblInd w:w="120" w:type="dxa"/>
      </w:tblPr>
      <w:tblGrid>
        <w:gridCol w:w="9360"/>
      </w:tblGrid>
      <w:tr>
        <w:trPr>
          <w:cantSplit/>
          <w:tblHeader w:val="true"/>
        </w:trPr>
        <w:tc>
          <w:tcPr>
            <w:tcW w:type="dxa" w:w="9360"/>
            <w:tcMar>
              <w:top w:w="160" w:type="dxa"/>
              <w:start w:w="200" w:type="dxa"/>
              <w:bottom w:w="160" w:type="dxa"/>
              <w:end w:w="200" w:type="dxa"/>
            </w:tcMar>
            <w:vAlign w:val="center"/>
            <w:shd w:fill="E7F3EF" w:val="clear"/>
          </w:tcPr>
          <w:p>
            <w:pPr>
              <w:widowControl/>
              <w:spacing w:before="0" w:after="80" w:line="264" w:lineRule="auto"/>
            </w:pPr>
            <w:r>
              <w:rPr>
                <w:rFonts w:ascii="Arial Unicode MS" w:hAnsi="Arial Unicode MS" w:eastAsia="Arial Unicode MS"/>
                <w:b/>
                <w:color w:val="2A8C74"/>
                <w:sz w:val="22"/>
              </w:rPr>
              <w:t>推荐北极星指标</w:t>
            </w:r>
          </w:p>
          <w:p>
            <w:pPr>
              <w:widowControl/>
              <w:spacing w:before="0" w:after="0" w:line="276" w:lineRule="auto"/>
            </w:pPr>
            <w:r>
              <w:rPr>
                <w:rFonts w:ascii="Arial Unicode MS" w:hAnsi="Arial Unicode MS" w:eastAsia="Arial Unicode MS"/>
                <w:color w:val="1D2733"/>
                <w:sz w:val="21"/>
              </w:rPr>
              <w:t>每周被完整准备并执行的关键训练补给次数，而不是单纯日活或饮食记录次数。</w:t>
            </w:r>
          </w:p>
        </w:tc>
      </w:tr>
    </w:tbl>
    <w:p>
      <w:pPr>
        <w:widowControl/>
        <w:spacing w:before="0" w:after="40" w:line="264" w:lineRule="auto"/>
      </w:pPr>
    </w:p>
    <w:p>
      <w:pPr>
        <w:pStyle w:val="Heading2"/>
      </w:pPr>
      <w:r>
        <w:t>10.2 漏斗指标</w:t>
      </w:r>
    </w:p>
    <w:tbl>
      <w:tblPr>
        <w:tblW w:type="dxa" w:w="9360"/>
        <w:tblLayout w:type="fixed"/>
        <w:tblLook w:firstColumn="1" w:firstRow="1" w:lastColumn="0" w:lastRow="0" w:noHBand="0" w:noVBand="1" w:val="04A0"/>
        <w:jc w:val="left"/>
        <w:tblInd w:w="120" w:type="dxa"/>
      </w:tblPr>
      <w:tblGrid>
        <w:gridCol w:w="2100"/>
        <w:gridCol w:w="7260"/>
      </w:tblGrid>
      <w:tr>
        <w:trPr>
          <w:cantSplit/>
          <w:tblHeader w:val="true"/>
          <w:cantSplit/>
        </w:trPr>
        <w:tc>
          <w:tcPr>
            <w:tcW w:type="dxa" w:w="2100"/>
            <w:tcMar>
              <w:top w:w="80" w:type="dxa"/>
              <w:start w:w="120" w:type="dxa"/>
              <w:bottom w:w="80" w:type="dxa"/>
              <w:end w:w="120" w:type="dxa"/>
            </w:tcMar>
            <w:vAlign w:val="center"/>
            <w:shd w:fill="E8EEF5" w:val="clear"/>
          </w:tcPr>
          <w:p>
            <w:pPr>
              <w:widowControl/>
              <w:spacing w:before="0" w:after="0" w:line="240" w:lineRule="auto"/>
              <w:jc w:val="center"/>
            </w:pPr>
            <w:r>
              <w:rPr>
                <w:rFonts w:ascii="Arial Unicode MS" w:hAnsi="Arial Unicode MS" w:eastAsia="Arial Unicode MS"/>
                <w:b/>
                <w:color w:val="1F4D78"/>
                <w:sz w:val="19"/>
              </w:rPr>
              <w:t>层级</w:t>
            </w:r>
          </w:p>
        </w:tc>
        <w:tc>
          <w:tcPr>
            <w:tcW w:type="dxa" w:w="7260"/>
            <w:tcMar>
              <w:top w:w="80" w:type="dxa"/>
              <w:start w:w="120" w:type="dxa"/>
              <w:bottom w:w="80" w:type="dxa"/>
              <w:end w:w="120" w:type="dxa"/>
            </w:tcMar>
            <w:vAlign w:val="center"/>
            <w:shd w:fill="E8EEF5" w:val="clear"/>
          </w:tcPr>
          <w:p>
            <w:pPr>
              <w:widowControl/>
              <w:spacing w:before="0" w:after="0" w:line="240" w:lineRule="auto"/>
              <w:jc w:val="center"/>
            </w:pPr>
            <w:r>
              <w:rPr>
                <w:rFonts w:ascii="Arial Unicode MS" w:hAnsi="Arial Unicode MS" w:eastAsia="Arial Unicode MS"/>
                <w:b/>
                <w:color w:val="1F4D78"/>
                <w:sz w:val="19"/>
              </w:rPr>
              <w:t>建议指标</w:t>
            </w:r>
          </w:p>
        </w:tc>
      </w:tr>
      <w:tr>
        <w:trPr>
          <w:cantSplit/>
        </w:trPr>
        <w:tc>
          <w:tcPr>
            <w:tcW w:type="dxa" w:w="21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获取</w:t>
            </w:r>
          </w:p>
        </w:tc>
        <w:tc>
          <w:tcPr>
            <w:tcW w:type="dxa" w:w="72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比赛计算器访问量、赛事页面自然流量、下载转化率</w:t>
            </w:r>
          </w:p>
        </w:tc>
      </w:tr>
      <w:tr>
        <w:trPr>
          <w:cantSplit/>
        </w:trPr>
        <w:tc>
          <w:tcPr>
            <w:tcW w:type="dxa" w:w="21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激活</w:t>
            </w:r>
          </w:p>
        </w:tc>
        <w:tc>
          <w:tcPr>
            <w:tcW w:type="dxa" w:w="72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训练平台连接率、首份计划生成率、Fuel Kit设置率</w:t>
            </w:r>
          </w:p>
        </w:tc>
      </w:tr>
      <w:tr>
        <w:trPr>
          <w:cantSplit/>
        </w:trPr>
        <w:tc>
          <w:tcPr>
            <w:tcW w:type="dxa" w:w="21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执行</w:t>
            </w:r>
          </w:p>
        </w:tc>
        <w:tc>
          <w:tcPr>
            <w:tcW w:type="dxa" w:w="72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关键训练计划查看率、补给提醒完成率、实际摄入记录率</w:t>
            </w:r>
          </w:p>
        </w:tc>
      </w:tr>
      <w:tr>
        <w:trPr>
          <w:cantSplit/>
        </w:trPr>
        <w:tc>
          <w:tcPr>
            <w:tcW w:type="dxa" w:w="21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价值</w:t>
            </w:r>
          </w:p>
        </w:tc>
        <w:tc>
          <w:tcPr>
            <w:tcW w:type="dxa" w:w="72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后程掉速减少、胃肠不适减少、恢复主观评分改善</w:t>
            </w:r>
          </w:p>
        </w:tc>
      </w:tr>
      <w:tr>
        <w:trPr>
          <w:cantSplit/>
        </w:trPr>
        <w:tc>
          <w:tcPr>
            <w:tcW w:type="dxa" w:w="21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留存</w:t>
            </w:r>
          </w:p>
        </w:tc>
        <w:tc>
          <w:tcPr>
            <w:tcW w:type="dxa" w:w="72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周活跃、连续训练周期使用、目标赛事结束后留存</w:t>
            </w:r>
          </w:p>
        </w:tc>
      </w:tr>
      <w:tr>
        <w:trPr>
          <w:cantSplit/>
        </w:trPr>
        <w:tc>
          <w:tcPr>
            <w:tcW w:type="dxa" w:w="210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商业</w:t>
            </w:r>
          </w:p>
        </w:tc>
        <w:tc>
          <w:tcPr>
            <w:tcW w:type="dxa" w:w="7260"/>
            <w:shd w:fill="FAFBFC" w:val="clear"/>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试用转付费、月转年、续订、赛事后取消率</w:t>
            </w:r>
          </w:p>
        </w:tc>
      </w:tr>
      <w:tr>
        <w:trPr>
          <w:cantSplit/>
        </w:trPr>
        <w:tc>
          <w:tcPr>
            <w:tcW w:type="dxa" w:w="210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color w:val="1D2733"/>
                <w:sz w:val="18"/>
              </w:rPr>
              <w:t>安全</w:t>
            </w:r>
          </w:p>
        </w:tc>
        <w:tc>
          <w:tcPr>
            <w:tcW w:type="dxa" w:w="7260"/>
            <w:tcMar>
              <w:top w:w="80" w:type="dxa"/>
              <w:start w:w="120" w:type="dxa"/>
              <w:bottom w:w="80" w:type="dxa"/>
              <w:end w:w="120" w:type="dxa"/>
            </w:tcMar>
            <w:vAlign w:val="center"/>
          </w:tcPr>
          <w:p>
            <w:pPr>
              <w:widowControl/>
              <w:spacing w:before="0" w:after="0" w:line="252" w:lineRule="auto"/>
              <w:jc w:val="left"/>
            </w:pPr>
            <w:r>
              <w:rPr>
                <w:rFonts w:ascii="Arial Unicode MS" w:hAnsi="Arial Unicode MS" w:eastAsia="Arial Unicode MS"/>
                <w:b w:val="0"/>
                <w:color w:val="1D2733"/>
                <w:sz w:val="18"/>
              </w:rPr>
              <w:t>高风险建议拦截率、用户报告异常、专业升级率</w:t>
            </w:r>
          </w:p>
        </w:tc>
      </w:tr>
    </w:tbl>
    <w:p>
      <w:pPr>
        <w:widowControl/>
        <w:spacing w:before="0" w:after="40" w:line="264" w:lineRule="auto"/>
      </w:pPr>
    </w:p>
    <w:p>
      <w:pPr>
        <w:pStyle w:val="Heading1"/>
        <w:pageBreakBefore/>
      </w:pPr>
      <w:r>
        <w:t>附录：研究方法与主要来源</w:t>
      </w:r>
    </w:p>
    <w:p>
      <w:pPr>
        <w:widowControl/>
        <w:spacing w:before="0" w:after="120" w:line="264" w:lineRule="auto"/>
      </w:pPr>
      <w:r>
        <w:rPr>
          <w:rFonts w:ascii="Arial Unicode MS" w:hAnsi="Arial Unicode MS" w:eastAsia="Arial Unicode MS"/>
          <w:color w:val="1D2733"/>
        </w:rPr>
        <w:t>本报告基于2026年8月5日可公开访问的MAVR资料。所有用户量、赛事量和食品量均属于厂商公开口径，未作为独立经营数据验证。公开资料足以分析产品结构和策略，但不能证明产品市场匹配、留存、收入或科学有效性。</w:t>
      </w:r>
    </w:p>
    <w:p>
      <w:pPr>
        <w:widowControl/>
        <w:numPr>
          <w:ilvl w:val="0"/>
          <w:numId w:val="16"/>
        </w:numPr>
        <w:spacing w:before="0" w:after="80" w:line="264" w:lineRule="auto"/>
      </w:pPr>
      <w:hyperlink r:id="rId11">
        <w:r>
          <w:rPr>
            <w:color w:val="2E74B5"/>
            <w:u w:val="single"/>
            <w:rFonts w:ascii="Arial Unicode MS" w:hAnsi="Arial Unicode MS" w:eastAsia="Arial Unicode MS"/>
          </w:rPr>
          <w:t>MAVR官网</w:t>
        </w:r>
      </w:hyperlink>
    </w:p>
    <w:p>
      <w:pPr>
        <w:widowControl/>
        <w:numPr>
          <w:ilvl w:val="0"/>
          <w:numId w:val="16"/>
        </w:numPr>
        <w:spacing w:before="0" w:after="80" w:line="264" w:lineRule="auto"/>
      </w:pPr>
      <w:hyperlink r:id="rId14">
        <w:r>
          <w:rPr>
            <w:color w:val="2E74B5"/>
            <w:u w:val="single"/>
            <w:rFonts w:ascii="Arial Unicode MS" w:hAnsi="Arial Unicode MS" w:eastAsia="Arial Unicode MS"/>
          </w:rPr>
          <w:t>跑步营养产品页</w:t>
        </w:r>
      </w:hyperlink>
    </w:p>
    <w:p>
      <w:pPr>
        <w:widowControl/>
        <w:numPr>
          <w:ilvl w:val="0"/>
          <w:numId w:val="16"/>
        </w:numPr>
        <w:spacing w:before="0" w:after="80" w:line="264" w:lineRule="auto"/>
      </w:pPr>
      <w:hyperlink r:id="rId22">
        <w:r>
          <w:rPr>
            <w:color w:val="2E74B5"/>
            <w:u w:val="single"/>
            <w:rFonts w:ascii="Arial Unicode MS" w:hAnsi="Arial Unicode MS" w:eastAsia="Arial Unicode MS"/>
          </w:rPr>
          <w:t>铁三营养产品页</w:t>
        </w:r>
      </w:hyperlink>
    </w:p>
    <w:p>
      <w:pPr>
        <w:widowControl/>
        <w:numPr>
          <w:ilvl w:val="0"/>
          <w:numId w:val="16"/>
        </w:numPr>
        <w:spacing w:before="0" w:after="80" w:line="264" w:lineRule="auto"/>
      </w:pPr>
      <w:hyperlink r:id="rId18">
        <w:r>
          <w:rPr>
            <w:color w:val="2E74B5"/>
            <w:u w:val="single"/>
            <w:rFonts w:ascii="Arial Unicode MS" w:hAnsi="Arial Unicode MS" w:eastAsia="Arial Unicode MS"/>
          </w:rPr>
          <w:t>比赛补给计算器</w:t>
        </w:r>
      </w:hyperlink>
    </w:p>
    <w:p>
      <w:pPr>
        <w:widowControl/>
        <w:numPr>
          <w:ilvl w:val="0"/>
          <w:numId w:val="16"/>
        </w:numPr>
        <w:spacing w:before="0" w:after="80" w:line="264" w:lineRule="auto"/>
      </w:pPr>
      <w:hyperlink r:id="rId19">
        <w:r>
          <w:rPr>
            <w:color w:val="2E74B5"/>
            <w:u w:val="single"/>
            <w:rFonts w:ascii="Arial Unicode MS" w:hAnsi="Arial Unicode MS" w:eastAsia="Arial Unicode MS"/>
          </w:rPr>
          <w:t>赛道与补给站数据库</w:t>
        </w:r>
      </w:hyperlink>
    </w:p>
    <w:p>
      <w:pPr>
        <w:widowControl/>
        <w:numPr>
          <w:ilvl w:val="0"/>
          <w:numId w:val="16"/>
        </w:numPr>
        <w:spacing w:before="0" w:after="80" w:line="264" w:lineRule="auto"/>
      </w:pPr>
      <w:hyperlink r:id="rId16">
        <w:r>
          <w:rPr>
            <w:color w:val="2E74B5"/>
            <w:u w:val="single"/>
            <w:rFonts w:ascii="Arial Unicode MS" w:hAnsi="Arial Unicode MS" w:eastAsia="Arial Unicode MS"/>
          </w:rPr>
          <w:t>训练补给计算说明</w:t>
        </w:r>
      </w:hyperlink>
    </w:p>
    <w:p>
      <w:pPr>
        <w:widowControl/>
        <w:numPr>
          <w:ilvl w:val="0"/>
          <w:numId w:val="16"/>
        </w:numPr>
        <w:spacing w:before="0" w:after="80" w:line="264" w:lineRule="auto"/>
      </w:pPr>
      <w:hyperlink r:id="rId15">
        <w:r>
          <w:rPr>
            <w:color w:val="2E74B5"/>
            <w:u w:val="single"/>
            <w:rFonts w:ascii="Arial Unicode MS" w:hAnsi="Arial Unicode MS" w:eastAsia="Arial Unicode MS"/>
          </w:rPr>
          <w:t>训练补给与餐时说明</w:t>
        </w:r>
      </w:hyperlink>
    </w:p>
    <w:p>
      <w:pPr>
        <w:widowControl/>
        <w:numPr>
          <w:ilvl w:val="0"/>
          <w:numId w:val="16"/>
        </w:numPr>
        <w:spacing w:before="0" w:after="80" w:line="264" w:lineRule="auto"/>
      </w:pPr>
      <w:hyperlink r:id="rId20">
        <w:r>
          <w:rPr>
            <w:color w:val="2E74B5"/>
            <w:u w:val="single"/>
            <w:rFonts w:ascii="Arial Unicode MS" w:hAnsi="Arial Unicode MS" w:eastAsia="Arial Unicode MS"/>
          </w:rPr>
          <w:t>四周肠胃训练方案</w:t>
        </w:r>
      </w:hyperlink>
    </w:p>
    <w:p>
      <w:pPr>
        <w:widowControl/>
        <w:numPr>
          <w:ilvl w:val="0"/>
          <w:numId w:val="16"/>
        </w:numPr>
        <w:spacing w:before="0" w:after="80" w:line="264" w:lineRule="auto"/>
      </w:pPr>
      <w:hyperlink r:id="rId21">
        <w:r>
          <w:rPr>
            <w:color w:val="2E74B5"/>
            <w:u w:val="single"/>
            <w:rFonts w:ascii="Arial Unicode MS" w:hAnsi="Arial Unicode MS" w:eastAsia="Arial Unicode MS"/>
          </w:rPr>
          <w:t>产品更新记录</w:t>
        </w:r>
      </w:hyperlink>
    </w:p>
    <w:p>
      <w:pPr>
        <w:widowControl/>
        <w:numPr>
          <w:ilvl w:val="0"/>
          <w:numId w:val="16"/>
        </w:numPr>
        <w:spacing w:before="0" w:after="80" w:line="264" w:lineRule="auto"/>
      </w:pPr>
      <w:hyperlink r:id="rId17">
        <w:r>
          <w:rPr>
            <w:color w:val="2E74B5"/>
            <w:u w:val="single"/>
            <w:rFonts w:ascii="Arial Unicode MS" w:hAnsi="Arial Unicode MS" w:eastAsia="Arial Unicode MS"/>
          </w:rPr>
          <w:t>服务条款</w:t>
        </w:r>
      </w:hyperlink>
    </w:p>
    <w:p>
      <w:pPr>
        <w:widowControl/>
        <w:numPr>
          <w:ilvl w:val="0"/>
          <w:numId w:val="16"/>
        </w:numPr>
        <w:spacing w:before="0" w:after="80" w:line="264" w:lineRule="auto"/>
      </w:pPr>
      <w:hyperlink r:id="rId12">
        <w:r>
          <w:rPr>
            <w:color w:val="2E74B5"/>
            <w:u w:val="single"/>
            <w:rFonts w:ascii="Arial Unicode MS" w:hAnsi="Arial Unicode MS" w:eastAsia="Arial Unicode MS"/>
          </w:rPr>
          <w:t>美国区App Store</w:t>
        </w:r>
      </w:hyperlink>
    </w:p>
    <w:p>
      <w:pPr>
        <w:pStyle w:val="Heading2"/>
      </w:pPr>
      <w:r>
        <w:t>研究限制</w:t>
      </w:r>
    </w:p>
    <w:p>
      <w:pPr>
        <w:widowControl/>
        <w:numPr>
          <w:ilvl w:val="0"/>
          <w:numId w:val="16"/>
        </w:numPr>
        <w:spacing w:before="0" w:after="80" w:line="280" w:lineRule="auto"/>
      </w:pPr>
      <w:r>
        <w:rPr>
          <w:rFonts w:ascii="Arial Unicode MS" w:hAnsi="Arial Unicode MS" w:eastAsia="Arial Unicode MS"/>
        </w:rPr>
        <w:t>未完成付费产品全流程实测，不能验证真实信息架构和所有付费墙行为。</w:t>
      </w:r>
    </w:p>
    <w:p>
      <w:pPr>
        <w:widowControl/>
        <w:numPr>
          <w:ilvl w:val="0"/>
          <w:numId w:val="16"/>
        </w:numPr>
        <w:spacing w:before="0" w:after="80" w:line="280" w:lineRule="auto"/>
      </w:pPr>
      <w:r>
        <w:rPr>
          <w:rFonts w:ascii="Arial Unicode MS" w:hAnsi="Arial Unicode MS" w:eastAsia="Arial Unicode MS"/>
        </w:rPr>
        <w:t>未获得内部算法、留存、收入、转化或实验数据。</w:t>
      </w:r>
    </w:p>
    <w:p>
      <w:pPr>
        <w:widowControl/>
        <w:numPr>
          <w:ilvl w:val="0"/>
          <w:numId w:val="16"/>
        </w:numPr>
        <w:spacing w:before="0" w:after="80" w:line="280" w:lineRule="auto"/>
      </w:pPr>
      <w:r>
        <w:rPr>
          <w:rFonts w:ascii="Arial Unicode MS" w:hAnsi="Arial Unicode MS" w:eastAsia="Arial Unicode MS"/>
        </w:rPr>
        <w:t>未对营养建议进行独立运动科学有效性验证。</w:t>
      </w:r>
    </w:p>
    <w:p>
      <w:pPr>
        <w:widowControl/>
        <w:numPr>
          <w:ilvl w:val="0"/>
          <w:numId w:val="16"/>
        </w:numPr>
        <w:spacing w:before="0" w:after="80" w:line="280" w:lineRule="auto"/>
      </w:pPr>
      <w:r>
        <w:rPr>
          <w:rFonts w:ascii="Arial Unicode MS" w:hAnsi="Arial Unicode MS" w:eastAsia="Arial Unicode MS"/>
        </w:rPr>
        <w:t>App Store评价数量有限，不能据此判断整体满意度。</w:t>
      </w:r>
    </w:p>
    <w:p>
      <w:pPr>
        <w:widowControl/>
        <w:numPr>
          <w:ilvl w:val="0"/>
          <w:numId w:val="16"/>
        </w:numPr>
        <w:spacing w:before="0" w:after="80" w:line="280" w:lineRule="auto"/>
      </w:pPr>
      <w:r>
        <w:rPr>
          <w:rFonts w:ascii="Arial Unicode MS" w:hAnsi="Arial Unicode MS" w:eastAsia="Arial Unicode MS"/>
        </w:rPr>
        <w:t>部分功能和数字可能随后续版本变化。</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widowControl/>
      <w:spacing w:before="40" w:after="0" w:line="240" w:lineRule="auto"/>
      <w:jc w:val="right"/>
    </w:pPr>
    <w:r>
      <w:rPr>
        <w:rFonts w:ascii="Arial Unicode MS" w:hAnsi="Arial Unicode MS" w:eastAsia="Arial Unicode MS"/>
        <w:color w:val="617080"/>
        <w:sz w:val="17"/>
      </w:rPr>
      <w:t xml:space="preserve">Research Institute PRO  |  </w:t>
    </w:r>
    <w: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widowControl/>
      <w:spacing w:before="0" w:after="60" w:line="240" w:lineRule="auto"/>
      <w:jc w:val="left"/>
      <w:pBdr>
        <w:bottom w:val="single" w:sz="4" w:space="4" w:color="D9E2EC"/>
      </w:pBdr>
    </w:pPr>
    <w:r>
      <w:rPr>
        <w:rFonts w:ascii="Arial Unicode MS" w:hAnsi="Arial Unicode MS" w:eastAsia="Arial Unicode MS"/>
        <w:b/>
        <w:color w:val="1F4D78"/>
        <w:sz w:val="17"/>
      </w:rPr>
      <w:t>MAVR 深度产品分析</w:t>
    </w:r>
    <w:r>
      <w:rPr>
        <w:rFonts w:ascii="Arial Unicode MS" w:hAnsi="Arial Unicode MS" w:eastAsia="Arial Unicode MS"/>
        <w:color w:val="617080"/>
        <w:sz w:val="17"/>
      </w:rPr>
      <w:t xml:space="preserve">    产品经理视角 | 2026-08-05</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720"/>
        </w:tabs>
        <w:ind w:left="720" w:hanging="360"/>
      </w:pPr>
      <w:rPr>
        <w:rFonts w:ascii="Arial Unicode MS" w:hAnsi="Arial Unicode MS" w:eastAsia="Arial Unicode MS"/>
      </w:rPr>
    </w:lvl>
  </w:abstractNum>
  <w:num w:numId="10">
    <w:abstractNumId w:val="9"/>
  </w:num>
  <w:abstractNum w:abstractNumId="10">
    <w:multiLevelType w:val="singleLevel"/>
    <w:lvl w:ilvl="0">
      <w:start w:val="1"/>
      <w:numFmt w:val="bullet"/>
      <w:lvlText w:val="•"/>
      <w:lvlJc w:val="left"/>
      <w:pPr>
        <w:tabs>
          <w:tab w:val="num" w:pos="720"/>
        </w:tabs>
        <w:ind w:left="720" w:hanging="360"/>
      </w:pPr>
      <w:rPr>
        <w:rFonts w:ascii="Arial Unicode MS" w:hAnsi="Arial Unicode MS" w:eastAsia="Arial Unicode MS"/>
      </w:rPr>
    </w:lvl>
  </w:abstractNum>
  <w:num w:numId="11">
    <w:abstractNumId w:val="10"/>
  </w:num>
  <w:abstractNum w:abstractNumId="11">
    <w:multiLevelType w:val="singleLevel"/>
    <w:lvl w:ilvl="0">
      <w:start w:val="1"/>
      <w:numFmt w:val="decimal"/>
      <w:lvlText w:val="%1."/>
      <w:lvlJc w:val="left"/>
      <w:pPr>
        <w:tabs>
          <w:tab w:val="num" w:pos="720"/>
        </w:tabs>
        <w:ind w:left="720" w:hanging="360"/>
      </w:pPr>
      <w:rPr>
        <w:rFonts w:ascii="Arial Unicode MS" w:hAnsi="Arial Unicode MS" w:eastAsia="Arial Unicode MS"/>
      </w:rPr>
    </w:lvl>
  </w:abstractNum>
  <w:num w:numId="12">
    <w:abstractNumId w:val="11"/>
  </w:num>
  <w:abstractNum w:abstractNumId="12">
    <w:multiLevelType w:val="singleLevel"/>
    <w:lvl w:ilvl="0">
      <w:start w:val="1"/>
      <w:numFmt w:val="bullet"/>
      <w:lvlText w:val="•"/>
      <w:lvlJc w:val="left"/>
      <w:pPr>
        <w:tabs>
          <w:tab w:val="num" w:pos="720"/>
        </w:tabs>
        <w:ind w:left="720" w:hanging="360"/>
      </w:pPr>
      <w:rPr>
        <w:rFonts w:ascii="Arial Unicode MS" w:hAnsi="Arial Unicode MS" w:eastAsia="Arial Unicode MS"/>
      </w:rPr>
    </w:lvl>
  </w:abstractNum>
  <w:num w:numId="13">
    <w:abstractNumId w:val="12"/>
  </w:num>
  <w:abstractNum w:abstractNumId="13">
    <w:multiLevelType w:val="singleLevel"/>
    <w:lvl w:ilvl="0">
      <w:start w:val="1"/>
      <w:numFmt w:val="bullet"/>
      <w:lvlText w:val="•"/>
      <w:lvlJc w:val="left"/>
      <w:pPr>
        <w:tabs>
          <w:tab w:val="num" w:pos="720"/>
        </w:tabs>
        <w:ind w:left="720" w:hanging="360"/>
      </w:pPr>
      <w:rPr>
        <w:rFonts w:ascii="Arial Unicode MS" w:hAnsi="Arial Unicode MS" w:eastAsia="Arial Unicode MS"/>
      </w:rPr>
    </w:lvl>
  </w:abstractNum>
  <w:num w:numId="14">
    <w:abstractNumId w:val="13"/>
  </w:num>
  <w:abstractNum w:abstractNumId="14">
    <w:multiLevelType w:val="singleLevel"/>
    <w:lvl w:ilvl="0">
      <w:start w:val="1"/>
      <w:numFmt w:val="bullet"/>
      <w:lvlText w:val="•"/>
      <w:lvlJc w:val="left"/>
      <w:pPr>
        <w:tabs>
          <w:tab w:val="num" w:pos="720"/>
        </w:tabs>
        <w:ind w:left="720" w:hanging="360"/>
      </w:pPr>
      <w:rPr>
        <w:rFonts w:ascii="Arial Unicode MS" w:hAnsi="Arial Unicode MS" w:eastAsia="Arial Unicode MS"/>
      </w:rPr>
    </w:lvl>
  </w:abstractNum>
  <w:num w:numId="15">
    <w:abstractNumId w:val="14"/>
  </w:num>
  <w:abstractNum w:abstractNumId="15">
    <w:multiLevelType w:val="singleLevel"/>
    <w:lvl w:ilvl="0">
      <w:start w:val="1"/>
      <w:numFmt w:val="bullet"/>
      <w:lvlText w:val="•"/>
      <w:lvlJc w:val="left"/>
      <w:pPr>
        <w:tabs>
          <w:tab w:val="num" w:pos="720"/>
        </w:tabs>
        <w:ind w:left="720" w:hanging="360"/>
      </w:pPr>
      <w:rPr>
        <w:rFonts w:ascii="Arial Unicode MS" w:hAnsi="Arial Unicode MS" w:eastAsia="Arial Unicode MS"/>
      </w:rPr>
    </w:lvl>
  </w:abstract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64" w:lineRule="auto"/>
    </w:pPr>
    <w:rPr>
      <w:rFonts w:ascii="Arial Unicode MS" w:hAnsi="Arial Unicode MS" w:eastAsia="Arial Unicode MS"/>
      <w:color w:val="1D27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20" w:after="160" w:line="252" w:lineRule="auto"/>
      <w:outlineLvl w:val="0"/>
    </w:pPr>
    <w:rPr>
      <w:rFonts w:asciiTheme="majorHAnsi" w:eastAsiaTheme="majorEastAsia" w:hAnsiTheme="majorHAnsi" w:cstheme="majorBidi" w:ascii="Arial Unicode MS" w:hAnsi="Arial Unicode MS" w:eastAsia="Arial Unicode MS"/>
      <w:b/>
      <w:bCs/>
      <w:color w:val="2E74B5"/>
      <w:sz w:val="32"/>
      <w:szCs w:val="28"/>
    </w:rPr>
  </w:style>
  <w:style w:type="paragraph" w:styleId="Heading2">
    <w:name w:val="heading 2"/>
    <w:basedOn w:val="Normal"/>
    <w:next w:val="Normal"/>
    <w:link w:val="Heading2Char"/>
    <w:uiPriority w:val="9"/>
    <w:unhideWhenUsed/>
    <w:qFormat/>
    <w:rsid w:val="00FC693F"/>
    <w:pPr>
      <w:keepNext/>
      <w:keepLines/>
      <w:widowControl/>
      <w:spacing w:before="240" w:after="120" w:line="252" w:lineRule="auto"/>
      <w:outlineLvl w:val="1"/>
    </w:pPr>
    <w:rPr>
      <w:rFonts w:asciiTheme="majorHAnsi" w:eastAsiaTheme="majorEastAsia" w:hAnsiTheme="majorHAnsi" w:cstheme="majorBidi" w:ascii="Arial Unicode MS" w:hAnsi="Arial Unicode MS" w:eastAsia="Arial Unicode MS"/>
      <w:b/>
      <w:bCs/>
      <w:color w:val="2E74B5"/>
      <w:sz w:val="26"/>
      <w:szCs w:val="26"/>
    </w:rPr>
  </w:style>
  <w:style w:type="paragraph" w:styleId="Heading3">
    <w:name w:val="heading 3"/>
    <w:basedOn w:val="Normal"/>
    <w:next w:val="Normal"/>
    <w:link w:val="Heading3Char"/>
    <w:uiPriority w:val="9"/>
    <w:unhideWhenUsed/>
    <w:qFormat/>
    <w:rsid w:val="00FC693F"/>
    <w:pPr>
      <w:keepNext/>
      <w:keepLines/>
      <w:widowControl/>
      <w:spacing w:before="160" w:after="80" w:line="252" w:lineRule="auto"/>
      <w:outlineLvl w:val="2"/>
    </w:pPr>
    <w:rPr>
      <w:rFonts w:asciiTheme="majorHAnsi" w:eastAsiaTheme="majorEastAsia" w:hAnsiTheme="majorHAnsi" w:cstheme="majorBidi" w:ascii="Arial Unicode MS" w:hAnsi="Arial Unicode MS" w:eastAsia="Arial Unicode MS"/>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pBdr>
        <w:bottom w:val="single" w:sz="8" w:space="4" w:color="4F81BD" w:themeColor="accent1"/>
      </w:pBdr>
      <w:spacing w:after="160" w:line="252" w:lineRule="auto" w:before="0"/>
      <w:contextualSpacing/>
    </w:pPr>
    <w:rPr>
      <w:rFonts w:asciiTheme="majorHAnsi" w:eastAsiaTheme="majorEastAsia" w:hAnsiTheme="majorHAnsi" w:cstheme="majorBidi" w:ascii="Arial Unicode MS" w:hAnsi="Arial Unicode MS" w:eastAsia="Arial Unicode MS"/>
      <w:b/>
      <w:color w:val="1F4D78"/>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widowControl/>
      <w:numPr>
        <w:ilvl w:val="1"/>
      </w:numPr>
      <w:spacing w:before="0" w:after="240" w:line="252" w:lineRule="auto"/>
    </w:pPr>
    <w:rPr>
      <w:rFonts w:asciiTheme="majorHAnsi" w:eastAsiaTheme="majorEastAsia" w:hAnsiTheme="majorHAnsi" w:cstheme="majorBidi" w:ascii="Arial Unicode MS" w:hAnsi="Arial Unicode MS" w:eastAsia="Arial Unicode MS"/>
      <w:b w:val="0"/>
      <w:i/>
      <w:iCs/>
      <w:color w:val="617080"/>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mavr.app/" TargetMode="External"/><Relationship Id="rId12" Type="http://schemas.openxmlformats.org/officeDocument/2006/relationships/hyperlink" Target="https://apps.apple.com/us/app/mavr-running-race-fuel/id6740541806" TargetMode="External"/><Relationship Id="rId13" Type="http://schemas.openxmlformats.org/officeDocument/2006/relationships/image" Target="media/image1.png"/><Relationship Id="rId14" Type="http://schemas.openxmlformats.org/officeDocument/2006/relationships/hyperlink" Target="https://www.mavr.app/running-nutrition-app" TargetMode="External"/><Relationship Id="rId15" Type="http://schemas.openxmlformats.org/officeDocument/2006/relationships/hyperlink" Target="https://www.mavr.app/blog/workout-fuel-calculator-meal-plan-explained" TargetMode="External"/><Relationship Id="rId16" Type="http://schemas.openxmlformats.org/officeDocument/2006/relationships/hyperlink" Target="https://www.mavr.app/blog/workout-fuel-calculator-beginner-guide" TargetMode="External"/><Relationship Id="rId17" Type="http://schemas.openxmlformats.org/officeDocument/2006/relationships/hyperlink" Target="https://www.mavr.app/tos" TargetMode="External"/><Relationship Id="rId18" Type="http://schemas.openxmlformats.org/officeDocument/2006/relationships/hyperlink" Target="https://www.mavr.app/race-plan-calculator" TargetMode="External"/><Relationship Id="rId19" Type="http://schemas.openxmlformats.org/officeDocument/2006/relationships/hyperlink" Target="https://www.mavr.app/race-course-library" TargetMode="External"/><Relationship Id="rId20" Type="http://schemas.openxmlformats.org/officeDocument/2006/relationships/hyperlink" Target="https://www.mavr.app/blog/how-to-practice-race-nutrition-before-race-day" TargetMode="External"/><Relationship Id="rId21" Type="http://schemas.openxmlformats.org/officeDocument/2006/relationships/hyperlink" Target="https://www.mavr.app/updates" TargetMode="External"/><Relationship Id="rId22" Type="http://schemas.openxmlformats.org/officeDocument/2006/relationships/hyperlink" Target="https://www.mavr.app/triathlon-nutrition-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MAVR 深度产品分析｜产品经理视角</dc:title>
  <dc:subject>耐力运动营养产品功能、增长、商业化与中国市场机会分析</dc:subject>
  <dc:creator>Research Institute PRO</dc:creator>
  <cp:keywords>MAVR, 运动营养, 跑步, 产品分析, 产品经理</cp:keywords>
  <dc:description>generated by python-docx</dc:description>
  <cp:lastModifiedBy>Research Institute PRO</cp:lastModifiedBy>
  <cp:revision>1</cp:revision>
  <dcterms:created xsi:type="dcterms:W3CDTF">2013-12-23T23:15:00Z</dcterms:created>
  <dcterms:modified xsi:type="dcterms:W3CDTF">2013-12-23T23:15:00Z</dcterms:modified>
  <cp:category/>
</cp:coreProperties>
</file>